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BA" w:rsidRPr="0018697A" w:rsidRDefault="008472BA" w:rsidP="008472BA">
      <w:pPr>
        <w:ind w:firstLine="6521"/>
      </w:pPr>
      <w:r w:rsidRPr="0018697A">
        <w:t>Додаток</w:t>
      </w:r>
    </w:p>
    <w:p w:rsidR="008472BA" w:rsidRDefault="008472BA" w:rsidP="008472BA">
      <w:pPr>
        <w:ind w:firstLine="6521"/>
      </w:pPr>
      <w:r w:rsidRPr="0018697A">
        <w:t>до рішення виконавчого комітету</w:t>
      </w:r>
    </w:p>
    <w:p w:rsidR="008472BA" w:rsidRDefault="008472BA" w:rsidP="008472BA">
      <w:pPr>
        <w:ind w:firstLine="6521"/>
      </w:pPr>
      <w:r>
        <w:t>від 02.12.2020 №59</w:t>
      </w:r>
    </w:p>
    <w:p w:rsidR="008472BA" w:rsidRDefault="008472BA" w:rsidP="008472BA"/>
    <w:p w:rsidR="008472BA" w:rsidRPr="001A7860" w:rsidRDefault="008472BA" w:rsidP="008472BA">
      <w:pPr>
        <w:jc w:val="center"/>
        <w:rPr>
          <w:b/>
        </w:rPr>
      </w:pPr>
      <w:r>
        <w:rPr>
          <w:b/>
        </w:rPr>
        <w:t xml:space="preserve">ЗВІТ ПРО РОБОТУ ВІДДІЛУ ЗЕМЕЛЬНИХ РЕСУРСІВ </w:t>
      </w:r>
    </w:p>
    <w:p w:rsidR="008472BA" w:rsidRDefault="008472BA" w:rsidP="008472BA">
      <w:pPr>
        <w:tabs>
          <w:tab w:val="left" w:pos="851"/>
        </w:tabs>
        <w:ind w:right="282"/>
        <w:jc w:val="center"/>
      </w:pPr>
    </w:p>
    <w:p w:rsidR="008472BA" w:rsidRDefault="008472BA" w:rsidP="008472BA">
      <w:pPr>
        <w:tabs>
          <w:tab w:val="left" w:pos="851"/>
        </w:tabs>
        <w:ind w:left="426" w:right="282" w:firstLine="567"/>
        <w:jc w:val="both"/>
      </w:pPr>
      <w:r>
        <w:t>За результатом роботи відділу протягом звітного періоду опрацьовано понад 5</w:t>
      </w:r>
      <w:r w:rsidRPr="00132E8F">
        <w:t>,</w:t>
      </w:r>
      <w:r>
        <w:t>7</w:t>
      </w:r>
      <w:r w:rsidRPr="00132E8F">
        <w:t xml:space="preserve"> тис</w:t>
      </w:r>
      <w:r>
        <w:t>. звернень суб</w:t>
      </w:r>
      <w:r w:rsidRPr="00DD47B7">
        <w:rPr>
          <w:lang w:val="ru-RU"/>
        </w:rPr>
        <w:t>’</w:t>
      </w:r>
      <w:r>
        <w:t xml:space="preserve">єктів  господарювання та громадян, що у порівнянні з минулим роком на 2000 одиниць більше. 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</w:pPr>
      <w:r>
        <w:t xml:space="preserve">У відповідності до поступлених заяв, підготовлено та прийнято понад 780 рішень із додатками сесій міської ради, що на 20 менше попереднього періоду. </w:t>
      </w:r>
    </w:p>
    <w:p w:rsidR="008472BA" w:rsidRPr="00163E56" w:rsidRDefault="008472BA" w:rsidP="008472BA">
      <w:pPr>
        <w:tabs>
          <w:tab w:val="left" w:pos="851"/>
        </w:tabs>
        <w:ind w:left="426" w:right="282" w:firstLine="567"/>
        <w:jc w:val="both"/>
      </w:pPr>
      <w:r>
        <w:t xml:space="preserve">Більшість прийнятих рішень стосується громадян на предмет надання </w:t>
      </w:r>
      <w:r w:rsidRPr="00DD47B7">
        <w:t>дозволу на складання проект</w:t>
      </w:r>
      <w:r>
        <w:t>і</w:t>
      </w:r>
      <w:r w:rsidRPr="00DD47B7">
        <w:t>в землеустрою, техн</w:t>
      </w:r>
      <w:r>
        <w:t>і</w:t>
      </w:r>
      <w:r w:rsidRPr="00DD47B7">
        <w:t>чних документац</w:t>
      </w:r>
      <w:r>
        <w:t>і</w:t>
      </w:r>
      <w:r w:rsidRPr="00DD47B7">
        <w:t>й</w:t>
      </w:r>
      <w:r>
        <w:t xml:space="preserve"> та їх затвердження по земельних ділянках під будівництво та обслуговування існуючих житлових будинків та господарських будівель та споруд, під будівництво та обслуговування гаражів тощо.</w:t>
      </w:r>
    </w:p>
    <w:p w:rsidR="008472BA" w:rsidRPr="00B21CA3" w:rsidRDefault="008472BA" w:rsidP="008472BA">
      <w:pPr>
        <w:tabs>
          <w:tab w:val="left" w:pos="851"/>
        </w:tabs>
        <w:ind w:left="426" w:right="282" w:firstLine="567"/>
        <w:jc w:val="both"/>
        <w:rPr>
          <w:color w:val="000000"/>
          <w:shd w:val="clear" w:color="auto" w:fill="FFFFFF"/>
        </w:rPr>
      </w:pPr>
      <w:r>
        <w:t>З</w:t>
      </w:r>
      <w:r w:rsidRPr="00B21CA3">
        <w:t xml:space="preserve"> метою </w:t>
      </w:r>
      <w:r w:rsidRPr="00B21CA3">
        <w:rPr>
          <w:color w:val="000000"/>
          <w:shd w:val="clear" w:color="auto" w:fill="FFFFFF"/>
        </w:rPr>
        <w:t>спрощення процедури поновлення договорів оренди землі в частині оформлення відповідних документів</w:t>
      </w:r>
      <w:r>
        <w:rPr>
          <w:color w:val="000000"/>
          <w:shd w:val="clear" w:color="auto" w:fill="FFFFFF"/>
        </w:rPr>
        <w:t>, відділом підготовлено рішення міської ради</w:t>
      </w:r>
      <w:r>
        <w:t xml:space="preserve"> «Про поновлення договорів оренди землі», термін яких закінчуються в період з 01.01.2020р. по 31.12.2020р., на визначений термін юридичним та фізичним особам, громадянам. 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</w:pPr>
      <w:r w:rsidRPr="00B21CA3">
        <w:t>В контексті останніх подій</w:t>
      </w:r>
      <w:r>
        <w:t>,</w:t>
      </w:r>
      <w:r w:rsidRPr="00B21CA3">
        <w:t xml:space="preserve"> </w:t>
      </w:r>
      <w:r>
        <w:rPr>
          <w:color w:val="000000"/>
          <w:shd w:val="clear" w:color="auto" w:fill="FFFFFF"/>
        </w:rPr>
        <w:t>д</w:t>
      </w:r>
      <w:r w:rsidRPr="00163E56">
        <w:rPr>
          <w:color w:val="000000"/>
          <w:shd w:val="clear" w:color="auto" w:fill="FFFFFF"/>
        </w:rPr>
        <w:t>ля забезпечення реалізації пільг в частині першочергового відведення земельних ділянок  учасникам бойових дій та осіб прирівняних до них, в тому числі учасникам антитерористичних операції та їх сім’ям, особам на яких поширюється чинність Закону України «Про статус ветеранів війни, гарантії їх соціального захисту» та які зареєстровані у Тернополі</w:t>
      </w:r>
      <w:r>
        <w:rPr>
          <w:color w:val="000000"/>
          <w:shd w:val="clear" w:color="auto" w:fill="FFFFFF"/>
        </w:rPr>
        <w:t>,</w:t>
      </w:r>
      <w:r w:rsidRPr="00163E56">
        <w:rPr>
          <w:color w:val="000000"/>
          <w:shd w:val="clear" w:color="auto" w:fill="FFFFFF"/>
        </w:rPr>
        <w:t xml:space="preserve"> прийнято рішення міської ради від 16.03.2018р. «Про грошову компенсацію </w:t>
      </w:r>
      <w:r w:rsidRPr="00163E56">
        <w:rPr>
          <w:bCs/>
          <w:color w:val="000000"/>
        </w:rPr>
        <w:t>за земельні ділянки учасникам бойових дій та особам прирівняних до них</w:t>
      </w:r>
      <w:r w:rsidRPr="00163E56">
        <w:rPr>
          <w:color w:val="000000"/>
          <w:shd w:val="clear" w:color="auto" w:fill="FFFFFF"/>
        </w:rPr>
        <w:t xml:space="preserve">». Відповідно до зазначеного рішення на розгляд відділу надійшло </w:t>
      </w:r>
      <w:r>
        <w:rPr>
          <w:color w:val="000000"/>
          <w:shd w:val="clear" w:color="auto" w:fill="FFFFFF"/>
        </w:rPr>
        <w:t>326</w:t>
      </w:r>
      <w:r w:rsidRPr="00163E56">
        <w:rPr>
          <w:color w:val="000000"/>
          <w:shd w:val="clear" w:color="auto" w:fill="FFFFFF"/>
        </w:rPr>
        <w:t xml:space="preserve"> звернень</w:t>
      </w:r>
      <w:r>
        <w:rPr>
          <w:color w:val="000000"/>
          <w:shd w:val="clear" w:color="auto" w:fill="FFFFFF"/>
        </w:rPr>
        <w:t>. Протягом 2020 року</w:t>
      </w:r>
      <w:r w:rsidRPr="00163E56">
        <w:rPr>
          <w:color w:val="000000"/>
          <w:shd w:val="clear" w:color="auto" w:fill="FFFFFF"/>
        </w:rPr>
        <w:t xml:space="preserve"> грошов</w:t>
      </w:r>
      <w:r>
        <w:rPr>
          <w:color w:val="000000"/>
          <w:shd w:val="clear" w:color="auto" w:fill="FFFFFF"/>
        </w:rPr>
        <w:t>а</w:t>
      </w:r>
      <w:r w:rsidRPr="00163E56">
        <w:rPr>
          <w:color w:val="000000"/>
          <w:shd w:val="clear" w:color="auto" w:fill="FFFFFF"/>
        </w:rPr>
        <w:t xml:space="preserve"> компенсаці</w:t>
      </w:r>
      <w:r>
        <w:rPr>
          <w:color w:val="000000"/>
          <w:shd w:val="clear" w:color="auto" w:fill="FFFFFF"/>
        </w:rPr>
        <w:t xml:space="preserve">я </w:t>
      </w:r>
      <w:r w:rsidRPr="00163E56">
        <w:rPr>
          <w:color w:val="000000"/>
          <w:shd w:val="clear" w:color="auto" w:fill="FFFFFF"/>
        </w:rPr>
        <w:t xml:space="preserve">виплачена </w:t>
      </w:r>
      <w:r>
        <w:rPr>
          <w:color w:val="000000"/>
          <w:shd w:val="clear" w:color="auto" w:fill="FFFFFF"/>
        </w:rPr>
        <w:t>97</w:t>
      </w:r>
      <w:r w:rsidRPr="00163E56">
        <w:rPr>
          <w:color w:val="000000"/>
          <w:shd w:val="clear" w:color="auto" w:fill="FFFFFF"/>
        </w:rPr>
        <w:t xml:space="preserve"> особам</w:t>
      </w:r>
      <w:r>
        <w:rPr>
          <w:color w:val="000000"/>
          <w:shd w:val="clear" w:color="auto" w:fill="FFFFFF"/>
        </w:rPr>
        <w:t xml:space="preserve"> на суму 7,3 млн.грн</w:t>
      </w:r>
      <w:r w:rsidRPr="00163E56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Станом на сьогодні, на розгляді знаходиться 126 звернень учасників АТО стосовно</w:t>
      </w:r>
      <w:r w:rsidRPr="00F75B03">
        <w:t xml:space="preserve"> </w:t>
      </w:r>
      <w:r>
        <w:t xml:space="preserve">виплати грошової компенсації за земельну ділянку для будівництва індивідуального житла. До порівняння, в 2019 році </w:t>
      </w:r>
      <w:r w:rsidRPr="00163E56">
        <w:rPr>
          <w:color w:val="000000"/>
          <w:shd w:val="clear" w:color="auto" w:fill="FFFFFF"/>
        </w:rPr>
        <w:t>грошов</w:t>
      </w:r>
      <w:r>
        <w:rPr>
          <w:color w:val="000000"/>
          <w:shd w:val="clear" w:color="auto" w:fill="FFFFFF"/>
        </w:rPr>
        <w:t>а</w:t>
      </w:r>
      <w:r w:rsidRPr="00163E56">
        <w:rPr>
          <w:color w:val="000000"/>
          <w:shd w:val="clear" w:color="auto" w:fill="FFFFFF"/>
        </w:rPr>
        <w:t xml:space="preserve"> компенсаці</w:t>
      </w:r>
      <w:r>
        <w:rPr>
          <w:color w:val="000000"/>
          <w:shd w:val="clear" w:color="auto" w:fill="FFFFFF"/>
        </w:rPr>
        <w:t xml:space="preserve">я </w:t>
      </w:r>
      <w:r w:rsidRPr="00163E56">
        <w:rPr>
          <w:color w:val="000000"/>
          <w:shd w:val="clear" w:color="auto" w:fill="FFFFFF"/>
        </w:rPr>
        <w:t xml:space="preserve">виплачена </w:t>
      </w:r>
      <w:r>
        <w:rPr>
          <w:color w:val="000000"/>
          <w:shd w:val="clear" w:color="auto" w:fill="FFFFFF"/>
        </w:rPr>
        <w:t xml:space="preserve">50 </w:t>
      </w:r>
      <w:r w:rsidRPr="00163E56">
        <w:rPr>
          <w:color w:val="000000"/>
          <w:shd w:val="clear" w:color="auto" w:fill="FFFFFF"/>
        </w:rPr>
        <w:t>особам</w:t>
      </w:r>
      <w:r>
        <w:rPr>
          <w:color w:val="000000"/>
          <w:shd w:val="clear" w:color="auto" w:fill="FFFFFF"/>
        </w:rPr>
        <w:t xml:space="preserve"> на суму 3,75 млн.грн.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</w:pPr>
      <w:r>
        <w:t xml:space="preserve">Крім того повідомляємо, що 5 учасникам АТО та 12 </w:t>
      </w:r>
      <w:r>
        <w:rPr>
          <w:bCs/>
        </w:rPr>
        <w:t>громадянам пільгової категорії</w:t>
      </w:r>
      <w:r>
        <w:t xml:space="preserve"> надано дозволи на виготовлення проектів землеустрою щодо відведення земельних ділянок під будівництво житлових будинків, господарських будівель та споруд з правом безоплатної передачі у власність. Оформлення документів та прийняття відповідних рішень міської ради щодо надання земельних ділянок, на стадії завершення. Окрім зазначеного, 4 учасникам АТО та 2 громадянам пільгової категорії вже передано у власність земельні ділянки під будівництво житлових будинків, господарських будівель та споруд, загальною площею 0,36га.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</w:pPr>
      <w:r>
        <w:t xml:space="preserve"> За період 2019 року, земельні ділянки під будівництво житлових будинків, господарських будівель та споруд отримали: 12 учасників АТО, 6 громадян пільгової категорії та 10 сімей загиблих учасників АТО, на загальну площу 1,68га.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</w:pPr>
      <w:r>
        <w:t>В загальному, станом на сьогодні, прийнято рішень щодо передачі безоплатно у власність земельних ділянок для будівництва та обслуговування житлового будинку, господарських будівель та споруд 753 учасникам АТО, 266 громадянам пільгової категорії та 22 сім’ям загиблих учасників АТО.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</w:pPr>
      <w:r>
        <w:t>Стосовно</w:t>
      </w:r>
      <w:r w:rsidRPr="00B21CA3">
        <w:t xml:space="preserve"> звернень учасників АТО про</w:t>
      </w:r>
      <w:r>
        <w:t xml:space="preserve"> надання земельних ділянок під будівництво та обслуговування гаражів, </w:t>
      </w:r>
      <w:r w:rsidRPr="0076541F">
        <w:t>слід зазначити</w:t>
      </w:r>
      <w:r>
        <w:t xml:space="preserve">, що орієнтовно </w:t>
      </w:r>
      <w:r w:rsidRPr="0076541F">
        <w:t>прийнят</w:t>
      </w:r>
      <w:r>
        <w:t>о</w:t>
      </w:r>
      <w:r w:rsidRPr="0076541F">
        <w:t xml:space="preserve"> </w:t>
      </w:r>
      <w:r>
        <w:t xml:space="preserve">1286 </w:t>
      </w:r>
      <w:r w:rsidRPr="0076541F">
        <w:t>рішен</w:t>
      </w:r>
      <w:r>
        <w:t>ь</w:t>
      </w:r>
      <w:r w:rsidRPr="0076541F">
        <w:t xml:space="preserve"> міської ради </w:t>
      </w:r>
      <w:r>
        <w:t>стосовно</w:t>
      </w:r>
      <w:r w:rsidRPr="0076541F">
        <w:t xml:space="preserve"> </w:t>
      </w:r>
      <w:r>
        <w:t xml:space="preserve">надання дозволу на розроблення проектів землеустрою щодо відведення земельних ділянок під будівництво та обслуговування гаражів ( за 2019 рік – 875 рішень) та 938 щодо затвердження відповідних проектів землеустрою ( за 2019 рік – 74 рішення). Аналогічні проекти рішень підготовлено на чергову сесію міської ради для учасників АТО. </w:t>
      </w:r>
    </w:p>
    <w:p w:rsidR="008472BA" w:rsidRPr="002A5FBA" w:rsidRDefault="008472BA" w:rsidP="008472BA">
      <w:pPr>
        <w:tabs>
          <w:tab w:val="left" w:pos="851"/>
        </w:tabs>
        <w:ind w:left="426" w:right="282" w:firstLine="567"/>
        <w:jc w:val="both"/>
        <w:rPr>
          <w:bCs/>
        </w:rPr>
      </w:pPr>
      <w:r w:rsidRPr="00D6008F">
        <w:rPr>
          <w:bCs/>
        </w:rPr>
        <w:t>У 20</w:t>
      </w:r>
      <w:r>
        <w:rPr>
          <w:bCs/>
        </w:rPr>
        <w:t>20</w:t>
      </w:r>
      <w:r w:rsidRPr="00D6008F">
        <w:rPr>
          <w:bCs/>
        </w:rPr>
        <w:t xml:space="preserve"> році проведено </w:t>
      </w:r>
      <w:r>
        <w:rPr>
          <w:bCs/>
        </w:rPr>
        <w:t>2</w:t>
      </w:r>
      <w:r w:rsidRPr="00D6008F">
        <w:rPr>
          <w:bCs/>
        </w:rPr>
        <w:t xml:space="preserve"> земельні аукціони. Шляхом проведення земельних торгі</w:t>
      </w:r>
      <w:r>
        <w:rPr>
          <w:bCs/>
        </w:rPr>
        <w:t xml:space="preserve">в у формі аукціону </w:t>
      </w:r>
      <w:r w:rsidRPr="00D6008F">
        <w:rPr>
          <w:bCs/>
        </w:rPr>
        <w:t>продано</w:t>
      </w:r>
      <w:r>
        <w:rPr>
          <w:bCs/>
        </w:rPr>
        <w:t>:</w:t>
      </w:r>
      <w:r w:rsidRPr="00D6008F">
        <w:rPr>
          <w:bCs/>
        </w:rPr>
        <w:t xml:space="preserve"> право оренди (річний розмір орендної плати)</w:t>
      </w:r>
      <w:r>
        <w:rPr>
          <w:bCs/>
        </w:rPr>
        <w:t xml:space="preserve"> на 3 земельні ділянки. Надходження до міського бюджету від продажу права оренди земельних ділянок становить </w:t>
      </w:r>
      <w:r>
        <w:rPr>
          <w:bCs/>
        </w:rPr>
        <w:lastRenderedPageBreak/>
        <w:t>1336,2тис.грн., що в порівнянні з минулим роком, зменшились на 110 тис.грн. Шляхом продажу у власність земельних ділянок для обслуговування об’єктів, розміщених на них продано 6 з/д площею 4,49га на загальну суму 7,7млн.грн, що на 2,6 млн. грн. менше, ніж у 2019 році.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  <w:rPr>
          <w:bCs/>
        </w:rPr>
      </w:pPr>
      <w:r w:rsidRPr="00E639E7">
        <w:rPr>
          <w:bCs/>
        </w:rPr>
        <w:t xml:space="preserve">Протягом звітного періоду відділом, в межах повноважень, здійснювався контроль за використанням та охороною земель шляхом виявлення порушень земельного законодавства та відповідного реагування. На розгляд виконавчого комітету було підготовлено </w:t>
      </w:r>
      <w:r>
        <w:rPr>
          <w:bCs/>
        </w:rPr>
        <w:t>6</w:t>
      </w:r>
      <w:r w:rsidRPr="00E639E7">
        <w:rPr>
          <w:bCs/>
        </w:rPr>
        <w:t xml:space="preserve"> проектів рішень «Про усунення порушень у сфері земельного законодавства та містобудування» яким прийнято рішення про демонтаж </w:t>
      </w:r>
      <w:r>
        <w:rPr>
          <w:bCs/>
        </w:rPr>
        <w:t>60</w:t>
      </w:r>
      <w:r w:rsidRPr="00E639E7">
        <w:rPr>
          <w:bCs/>
        </w:rPr>
        <w:t xml:space="preserve"> об’єктів, які були встановлені з порушенням вимог чинного законодавства.</w:t>
      </w:r>
      <w:r>
        <w:rPr>
          <w:bCs/>
        </w:rPr>
        <w:t xml:space="preserve">  У 2019 році демонтовано 68</w:t>
      </w:r>
      <w:r w:rsidRPr="00AD09C0">
        <w:rPr>
          <w:bCs/>
        </w:rPr>
        <w:t xml:space="preserve"> </w:t>
      </w:r>
      <w:r>
        <w:rPr>
          <w:bCs/>
        </w:rPr>
        <w:t xml:space="preserve">таких </w:t>
      </w:r>
      <w:r w:rsidRPr="00E639E7">
        <w:rPr>
          <w:bCs/>
        </w:rPr>
        <w:t>об’єктів</w:t>
      </w:r>
      <w:r>
        <w:rPr>
          <w:bCs/>
        </w:rPr>
        <w:t xml:space="preserve">. 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Проведена інвентаризація</w:t>
      </w:r>
      <w:r w:rsidRPr="007B4D99">
        <w:rPr>
          <w:color w:val="000000"/>
          <w:shd w:val="clear" w:color="auto" w:fill="FFFFFF"/>
        </w:rPr>
        <w:t xml:space="preserve"> земель, у північно-західн</w:t>
      </w:r>
      <w:r>
        <w:rPr>
          <w:color w:val="000000"/>
          <w:shd w:val="clear" w:color="auto" w:fill="FFFFFF"/>
        </w:rPr>
        <w:t xml:space="preserve">ому регіоні </w:t>
      </w:r>
      <w:r w:rsidRPr="007B4D99">
        <w:rPr>
          <w:color w:val="000000"/>
          <w:shd w:val="clear" w:color="auto" w:fill="FFFFFF"/>
        </w:rPr>
        <w:t>міста.</w:t>
      </w:r>
      <w:r>
        <w:rPr>
          <w:color w:val="000000"/>
          <w:shd w:val="clear" w:color="auto" w:fill="FFFFFF"/>
        </w:rPr>
        <w:t xml:space="preserve"> На підставі матеріалів інвентаризації, підготовлений проект рішення міської ради «Про затвердження технічної документації із землеустрою щодо інвентаризації земель на території м. Тернополя (Північно-західний напрямок). Також у 2019 році проведена інвентаризація та завершені роботи по інвентаризації земель наступних населених пунктів: с. Малашівці,  с. Іванківці, с. Курівці, с. Кобзарівка, с. Вертелка, с. Чернихів, с. Плесківці, с.Глядки Зборівського району Тернопільської області. Сесією міської ради прийнято рішення від 29.05.2020 року №7/50/98 « Про затвердження технічних документацій із землеустрою щодо інвентаризації земель населених пунктів Тернопільської міської територіальної громади».</w:t>
      </w:r>
    </w:p>
    <w:p w:rsidR="008472BA" w:rsidRPr="008B7E99" w:rsidRDefault="008472BA" w:rsidP="008472BA">
      <w:pPr>
        <w:tabs>
          <w:tab w:val="left" w:pos="851"/>
        </w:tabs>
        <w:ind w:left="426" w:right="28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Рішенням сесії міської ради від 26.06.2020 року № 7/51/176 «Про затвердження технічних документацій з нормативної грошової оцінки земель міста» </w:t>
      </w:r>
      <w:r w:rsidRPr="008B7E99">
        <w:rPr>
          <w:color w:val="000000"/>
          <w:shd w:val="clear" w:color="auto" w:fill="FFFFFF"/>
        </w:rPr>
        <w:t>затверджено технічні документації з нормативної грошової оцінки земель</w:t>
      </w:r>
      <w:r>
        <w:rPr>
          <w:color w:val="000000"/>
          <w:shd w:val="clear" w:color="auto" w:fill="FFFFFF"/>
        </w:rPr>
        <w:t xml:space="preserve"> та </w:t>
      </w:r>
      <w:r w:rsidRPr="008B7E99">
        <w:rPr>
          <w:color w:val="000000"/>
          <w:shd w:val="clear" w:color="auto" w:fill="FFFFFF"/>
        </w:rPr>
        <w:t>середню (базову) вартість земель Тернопільської міської територіальної громади</w:t>
      </w:r>
      <w:r>
        <w:rPr>
          <w:color w:val="000000"/>
          <w:shd w:val="clear" w:color="auto" w:fill="FFFFFF"/>
        </w:rPr>
        <w:t>. Дане рішення набирає</w:t>
      </w:r>
      <w:r w:rsidRPr="008B7E99">
        <w:rPr>
          <w:color w:val="000000"/>
          <w:shd w:val="clear" w:color="auto" w:fill="FFFFFF"/>
        </w:rPr>
        <w:t xml:space="preserve"> чинності 01.01.2021р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</w:pPr>
      <w:r>
        <w:t>З 01.01.2020 року спеціалістами відділу підготовлено та зареєстровано: 104 договорів оренди землі; 107 договорів сервітутного користування; 161 додаткових угод до договорів оренди землі; 241 додаткових угод до договорів сервітутного користування.</w:t>
      </w:r>
    </w:p>
    <w:p w:rsidR="008472BA" w:rsidRDefault="008472BA" w:rsidP="008472BA">
      <w:pPr>
        <w:tabs>
          <w:tab w:val="left" w:pos="851"/>
        </w:tabs>
        <w:ind w:left="426" w:right="282" w:firstLine="567"/>
        <w:jc w:val="both"/>
        <w:rPr>
          <w:color w:val="000000"/>
          <w:shd w:val="clear" w:color="auto" w:fill="FFFFFF"/>
        </w:rPr>
      </w:pPr>
      <w:r w:rsidRPr="00F11CF5">
        <w:t>У 20</w:t>
      </w:r>
      <w:r>
        <w:t>20</w:t>
      </w:r>
      <w:r w:rsidRPr="00F11CF5">
        <w:t>р. у відділ нараховується 1</w:t>
      </w:r>
      <w:r>
        <w:t>4</w:t>
      </w:r>
      <w:r w:rsidRPr="00F11CF5">
        <w:t xml:space="preserve"> працівників. Фонд заробітної плати за 10 місяців 20</w:t>
      </w:r>
      <w:r>
        <w:t>20</w:t>
      </w:r>
      <w:r w:rsidRPr="00F11CF5">
        <w:t xml:space="preserve">р. склав </w:t>
      </w:r>
      <w:r>
        <w:t xml:space="preserve">2 млн. 154 </w:t>
      </w:r>
      <w:r w:rsidRPr="00F11CF5">
        <w:t>тис.</w:t>
      </w:r>
      <w:r>
        <w:t xml:space="preserve"> 022 </w:t>
      </w:r>
      <w:r w:rsidRPr="00F11CF5">
        <w:t>грн</w:t>
      </w:r>
      <w:r>
        <w:t>.</w:t>
      </w:r>
      <w:r w:rsidRPr="00F11CF5">
        <w:t xml:space="preserve">, в тому числі премія – </w:t>
      </w:r>
      <w:r>
        <w:t xml:space="preserve">365 </w:t>
      </w:r>
      <w:r w:rsidRPr="00F11CF5">
        <w:t>тис.</w:t>
      </w:r>
      <w:r>
        <w:t xml:space="preserve"> 961</w:t>
      </w:r>
      <w:r w:rsidRPr="00F11CF5">
        <w:t xml:space="preserve">грн. Для порівняння за аналогічний період попереднього року: фонд заробітної плати – </w:t>
      </w:r>
      <w:r>
        <w:t xml:space="preserve">2 млн. 615 </w:t>
      </w:r>
      <w:r w:rsidRPr="00F11CF5">
        <w:t>тис.</w:t>
      </w:r>
      <w:r>
        <w:t xml:space="preserve"> 415 </w:t>
      </w:r>
      <w:r w:rsidRPr="00F11CF5">
        <w:t xml:space="preserve">грн., в тому числі премія – </w:t>
      </w:r>
      <w:r>
        <w:t>740 тис.523 грн.</w:t>
      </w:r>
    </w:p>
    <w:p w:rsidR="008472BA" w:rsidRDefault="008472BA" w:rsidP="008472BA">
      <w:pPr>
        <w:ind w:left="426" w:right="140" w:firstLine="425"/>
        <w:jc w:val="both"/>
        <w:rPr>
          <w:color w:val="000000"/>
          <w:shd w:val="clear" w:color="auto" w:fill="FFFFFF"/>
        </w:rPr>
      </w:pPr>
    </w:p>
    <w:p w:rsidR="008472BA" w:rsidRPr="000A2C47" w:rsidRDefault="008472BA" w:rsidP="008472BA">
      <w:pPr>
        <w:ind w:left="426" w:right="282"/>
        <w:jc w:val="both"/>
        <w:rPr>
          <w:bCs/>
        </w:rPr>
      </w:pPr>
      <w:r w:rsidRPr="000A2C47">
        <w:rPr>
          <w:bCs/>
        </w:rPr>
        <w:t>Начальник відділу</w:t>
      </w:r>
    </w:p>
    <w:p w:rsidR="008472BA" w:rsidRPr="000A2C47" w:rsidRDefault="008472BA" w:rsidP="008472BA">
      <w:pPr>
        <w:ind w:left="426" w:right="282"/>
        <w:jc w:val="both"/>
        <w:rPr>
          <w:bCs/>
        </w:rPr>
      </w:pPr>
      <w:r w:rsidRPr="000A2C47">
        <w:rPr>
          <w:bCs/>
        </w:rPr>
        <w:t xml:space="preserve">земельних ресурсів                                                                           </w:t>
      </w:r>
      <w:r>
        <w:rPr>
          <w:bCs/>
        </w:rPr>
        <w:t xml:space="preserve">      </w:t>
      </w:r>
      <w:r w:rsidRPr="000A2C47">
        <w:rPr>
          <w:bCs/>
        </w:rPr>
        <w:t xml:space="preserve"> </w:t>
      </w:r>
      <w:r>
        <w:rPr>
          <w:bCs/>
        </w:rPr>
        <w:t xml:space="preserve">                     Віктор КІБЛЯР</w:t>
      </w:r>
    </w:p>
    <w:p w:rsidR="008472BA" w:rsidRPr="000A2C47" w:rsidRDefault="008472BA" w:rsidP="008472BA">
      <w:pPr>
        <w:ind w:left="426" w:right="282"/>
        <w:jc w:val="both"/>
        <w:rPr>
          <w:bCs/>
        </w:rPr>
      </w:pPr>
    </w:p>
    <w:p w:rsidR="008472BA" w:rsidRPr="000A2C47" w:rsidRDefault="008472BA" w:rsidP="008472BA">
      <w:pPr>
        <w:ind w:left="426" w:right="282"/>
        <w:jc w:val="both"/>
        <w:rPr>
          <w:bCs/>
        </w:rPr>
      </w:pPr>
      <w:r w:rsidRPr="000A2C47">
        <w:rPr>
          <w:bCs/>
        </w:rPr>
        <w:t xml:space="preserve"> </w:t>
      </w:r>
    </w:p>
    <w:p w:rsidR="008472BA" w:rsidRDefault="008472BA" w:rsidP="008472BA">
      <w:pPr>
        <w:tabs>
          <w:tab w:val="left" w:pos="7245"/>
        </w:tabs>
        <w:ind w:left="426" w:right="282"/>
        <w:jc w:val="both"/>
        <w:rPr>
          <w:bCs/>
        </w:rPr>
      </w:pPr>
      <w:r w:rsidRPr="000A2C47">
        <w:rPr>
          <w:bCs/>
        </w:rPr>
        <w:t>Заступник міського голови</w:t>
      </w:r>
      <w:r>
        <w:rPr>
          <w:bCs/>
        </w:rPr>
        <w:t xml:space="preserve"> з питань</w:t>
      </w:r>
    </w:p>
    <w:p w:rsidR="008472BA" w:rsidRPr="000A2C47" w:rsidRDefault="008472BA" w:rsidP="008472BA">
      <w:pPr>
        <w:tabs>
          <w:tab w:val="left" w:pos="7245"/>
        </w:tabs>
        <w:ind w:left="426" w:right="282"/>
        <w:jc w:val="both"/>
        <w:rPr>
          <w:bCs/>
        </w:rPr>
      </w:pPr>
      <w:r>
        <w:rPr>
          <w:bCs/>
        </w:rPr>
        <w:t xml:space="preserve">діяльності виконавчих органів ради   </w:t>
      </w:r>
      <w:r>
        <w:rPr>
          <w:bCs/>
        </w:rPr>
        <w:tab/>
        <w:t xml:space="preserve">            Вікторія ОСТАПЧУК</w:t>
      </w:r>
    </w:p>
    <w:p w:rsidR="008472BA" w:rsidRPr="000A2C47" w:rsidRDefault="008472BA" w:rsidP="008472BA">
      <w:pPr>
        <w:ind w:left="426" w:right="282"/>
        <w:jc w:val="both"/>
        <w:rPr>
          <w:bCs/>
        </w:rPr>
      </w:pPr>
      <w:r w:rsidRPr="000A2C47">
        <w:rPr>
          <w:bCs/>
        </w:rPr>
        <w:t xml:space="preserve">                                              </w:t>
      </w:r>
    </w:p>
    <w:p w:rsidR="008472BA" w:rsidRPr="000A2C47" w:rsidRDefault="008472BA" w:rsidP="008472BA">
      <w:pPr>
        <w:ind w:left="426" w:right="282"/>
        <w:jc w:val="both"/>
        <w:rPr>
          <w:bCs/>
        </w:rPr>
      </w:pPr>
    </w:p>
    <w:p w:rsidR="008472BA" w:rsidRPr="000A2C47" w:rsidRDefault="008472BA" w:rsidP="008472BA">
      <w:pPr>
        <w:ind w:left="426" w:right="282"/>
        <w:jc w:val="both"/>
        <w:rPr>
          <w:bCs/>
        </w:rPr>
      </w:pPr>
      <w:r w:rsidRPr="000A2C47">
        <w:rPr>
          <w:bCs/>
        </w:rPr>
        <w:t xml:space="preserve">Міський голова                                                                                   </w:t>
      </w:r>
      <w:r>
        <w:rPr>
          <w:bCs/>
        </w:rPr>
        <w:t xml:space="preserve">                          Сергій НАДАЛ</w:t>
      </w: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right="140"/>
        <w:jc w:val="both"/>
        <w:rPr>
          <w:color w:val="000000"/>
          <w:shd w:val="clear" w:color="auto" w:fill="FFFFFF"/>
        </w:rPr>
      </w:pPr>
    </w:p>
    <w:p w:rsidR="008472BA" w:rsidRDefault="008472BA" w:rsidP="008472BA">
      <w:pPr>
        <w:ind w:left="426" w:right="140"/>
        <w:jc w:val="both"/>
        <w:rPr>
          <w:color w:val="000000"/>
          <w:shd w:val="clear" w:color="auto" w:fill="FFFFFF"/>
        </w:rPr>
      </w:pPr>
    </w:p>
    <w:p w:rsidR="008472BA" w:rsidRPr="00FE09DD" w:rsidRDefault="008472BA" w:rsidP="008472BA">
      <w:pPr>
        <w:ind w:left="426" w:right="140"/>
        <w:jc w:val="both"/>
        <w:rPr>
          <w:color w:val="000000"/>
          <w:sz w:val="20"/>
          <w:szCs w:val="20"/>
          <w:shd w:val="clear" w:color="auto" w:fill="FFFFFF"/>
        </w:rPr>
      </w:pPr>
      <w:r w:rsidRPr="00FE09DD">
        <w:rPr>
          <w:color w:val="000000"/>
          <w:sz w:val="20"/>
          <w:szCs w:val="20"/>
          <w:shd w:val="clear" w:color="auto" w:fill="FFFFFF"/>
        </w:rPr>
        <w:t>Оксана Догляд-Кіндрат 0674473183</w:t>
      </w:r>
    </w:p>
    <w:p w:rsidR="00B77C3F" w:rsidRDefault="00B77C3F"/>
    <w:sectPr w:rsidR="00B77C3F" w:rsidSect="00572955">
      <w:headerReference w:type="default" r:id="rId4"/>
      <w:pgSz w:w="11906" w:h="16838" w:code="9"/>
      <w:pgMar w:top="1134" w:right="567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D0" w:rsidRDefault="008472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472BA">
      <w:rPr>
        <w:noProof/>
        <w:lang w:val="ru-RU"/>
      </w:rPr>
      <w:t>3</w:t>
    </w:r>
    <w:r>
      <w:fldChar w:fldCharType="end"/>
    </w:r>
  </w:p>
  <w:p w:rsidR="003628D0" w:rsidRDefault="008472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2BA"/>
    <w:rsid w:val="008472BA"/>
    <w:rsid w:val="00B7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2B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5802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2020-12-07T11:58:00Z</dcterms:created>
  <dcterms:modified xsi:type="dcterms:W3CDTF">2020-12-07T11:58:00Z</dcterms:modified>
</cp:coreProperties>
</file>