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27"/>
        <w:numPr>
          <w:ilvl w:val="0"/>
          <w:numId w:val="0"/>
        </w:numPr>
        <w:ind w:left="0" w:hanging="0"/>
        <w:outlineLvl w:val="0"/>
        <w:rPr>
          <w:rFonts w:ascii="Arial" w:hAnsi="Arial" w:cs="Arial"/>
          <w:lang w:val="uk-UA"/>
        </w:rPr>
      </w:pPr>
      <w:bookmarkStart w:id="0" w:name="_Toc11053563"/>
      <w:r>
        <w:rPr>
          <w:rFonts w:cs="Arial" w:ascii="Arial" w:hAnsi="Arial"/>
          <w:lang w:val="uk-UA"/>
        </w:rPr>
        <w:t>27. ФІНАНСОВІ РИЗИКИ</w:t>
      </w:r>
      <w:bookmarkEnd w:id="0"/>
    </w:p>
    <w:p>
      <w:pPr>
        <w:pStyle w:val="Normal"/>
        <w:spacing w:lineRule="auto" w:line="240" w:before="0" w:after="0"/>
        <w:rPr>
          <w:rFonts w:ascii="Arial" w:hAnsi="Arial" w:cs="Arial"/>
          <w:sz w:val="10"/>
          <w:szCs w:val="10"/>
          <w:lang w:val="uk-UA"/>
        </w:rPr>
      </w:pPr>
      <w:r>
        <w:rPr>
          <w:rFonts w:cs="Arial" w:ascii="Arial" w:hAnsi="Arial"/>
          <w:sz w:val="10"/>
          <w:szCs w:val="10"/>
          <w:lang w:val="uk-UA"/>
        </w:rPr>
      </w:r>
    </w:p>
    <w:p>
      <w:pPr>
        <w:pStyle w:val="Normal"/>
        <w:spacing w:lineRule="auto" w:line="240" w:before="0" w:after="0"/>
        <w:jc w:val="both"/>
        <w:rPr>
          <w:rFonts w:ascii="Arial" w:hAnsi="Arial" w:eastAsia="Garamond" w:cs="Arial"/>
          <w:sz w:val="24"/>
          <w:szCs w:val="24"/>
          <w:lang w:val="uk-UA"/>
        </w:rPr>
      </w:pPr>
      <w:r>
        <w:rPr>
          <w:rFonts w:eastAsia="Garamond" w:cs="Arial" w:ascii="Arial" w:hAnsi="Arial"/>
          <w:sz w:val="24"/>
          <w:szCs w:val="24"/>
          <w:lang w:val="uk-UA"/>
        </w:rPr>
        <w:t>Функція управління ризиками в Компанії здійснюється у відношенні фінансових ризиків, операційних ризиків та юридичних ризиків. Фінансові ризики включають ринковий ризик (в тому числі валютний ризик, процентний ризик та інші цінові ризики), кредитний ризик та ризик ліквідності. Основні цілі управління фінансовими ризиками є визначення лімітів ризику та забезпечення рівня ризику у визначених межах. Метою управління операційними та юридичними ризиками є забезпечення належного дотримання внутрішніх регламентів і процедур з метою мінімізації таких ризиків.</w:t>
      </w:r>
    </w:p>
    <w:p>
      <w:pPr>
        <w:pStyle w:val="Normal"/>
        <w:spacing w:lineRule="auto" w:line="240" w:before="0" w:after="0"/>
        <w:rPr>
          <w:rFonts w:ascii="Arial" w:hAnsi="Arial" w:cs="Arial"/>
          <w:sz w:val="10"/>
          <w:szCs w:val="10"/>
          <w:lang w:val="uk-UA"/>
        </w:rPr>
      </w:pPr>
      <w:r>
        <w:rPr>
          <w:rFonts w:cs="Arial" w:ascii="Arial" w:hAnsi="Arial"/>
          <w:sz w:val="10"/>
          <w:szCs w:val="10"/>
          <w:lang w:val="uk-UA"/>
        </w:rPr>
      </w:r>
    </w:p>
    <w:p>
      <w:pPr>
        <w:pStyle w:val="Normal"/>
        <w:spacing w:lineRule="auto" w:line="240" w:before="0" w:after="0"/>
        <w:jc w:val="both"/>
        <w:rPr>
          <w:rFonts w:ascii="Arial" w:hAnsi="Arial" w:eastAsia="Garamond" w:cs="Arial"/>
          <w:sz w:val="24"/>
          <w:szCs w:val="24"/>
          <w:lang w:val="uk-UA"/>
        </w:rPr>
      </w:pPr>
      <w:r>
        <w:rPr>
          <w:rFonts w:eastAsia="Garamond" w:cs="Arial" w:ascii="Arial" w:hAnsi="Arial"/>
          <w:sz w:val="24"/>
          <w:szCs w:val="24"/>
          <w:lang w:val="uk-UA"/>
        </w:rPr>
        <w:t>Управління ризиками здійснюється керівництвом Компанії в тісному взаємозв’язку з функціональними підрозділами та у відповідності до політики, затвердженої власником. Фінансовий відділ Компанії визначає, оцінює і пропонує методи мінімізації ризиків.</w:t>
      </w:r>
    </w:p>
    <w:p>
      <w:pPr>
        <w:pStyle w:val="Normal"/>
        <w:spacing w:lineRule="auto" w:line="240" w:before="0" w:after="0"/>
        <w:rPr>
          <w:rFonts w:ascii="Arial" w:hAnsi="Arial" w:cs="Arial"/>
          <w:sz w:val="16"/>
          <w:szCs w:val="16"/>
          <w:lang w:val="uk-UA"/>
        </w:rPr>
      </w:pPr>
      <w:r>
        <w:rPr>
          <w:rFonts w:cs="Arial" w:ascii="Arial" w:hAnsi="Arial"/>
          <w:sz w:val="16"/>
          <w:szCs w:val="16"/>
          <w:lang w:val="uk-UA"/>
        </w:rPr>
      </w:r>
    </w:p>
    <w:p>
      <w:pPr>
        <w:pStyle w:val="Normal"/>
        <w:spacing w:lineRule="auto" w:line="240" w:before="0" w:after="0"/>
        <w:jc w:val="both"/>
        <w:rPr>
          <w:rFonts w:ascii="Arial" w:hAnsi="Arial" w:eastAsia="Garamond" w:cs="Arial"/>
          <w:sz w:val="24"/>
          <w:szCs w:val="24"/>
          <w:lang w:val="uk-UA"/>
        </w:rPr>
      </w:pPr>
      <w:r>
        <w:rPr>
          <w:rFonts w:eastAsia="Garamond" w:cs="Arial" w:ascii="Arial" w:hAnsi="Arial"/>
          <w:b/>
          <w:bCs/>
          <w:sz w:val="24"/>
          <w:szCs w:val="24"/>
          <w:lang w:val="uk-UA"/>
        </w:rPr>
        <w:t>Кредитний ризик</w:t>
      </w:r>
    </w:p>
    <w:p>
      <w:pPr>
        <w:pStyle w:val="Normal"/>
        <w:spacing w:lineRule="auto" w:line="240" w:before="0" w:after="0"/>
        <w:rPr>
          <w:rFonts w:ascii="Arial" w:hAnsi="Arial" w:cs="Arial"/>
          <w:sz w:val="10"/>
          <w:szCs w:val="10"/>
          <w:lang w:val="uk-UA"/>
        </w:rPr>
      </w:pPr>
      <w:r>
        <w:rPr>
          <w:rFonts w:cs="Arial" w:ascii="Arial" w:hAnsi="Arial"/>
          <w:sz w:val="10"/>
          <w:szCs w:val="10"/>
          <w:lang w:val="uk-UA"/>
        </w:rPr>
      </w:r>
    </w:p>
    <w:p>
      <w:pPr>
        <w:pStyle w:val="Normal"/>
        <w:spacing w:lineRule="auto" w:line="240" w:before="0" w:after="0"/>
        <w:jc w:val="both"/>
        <w:rPr>
          <w:rFonts w:ascii="Arial" w:hAnsi="Arial" w:eastAsia="Garamond" w:cs="Arial"/>
          <w:sz w:val="24"/>
          <w:szCs w:val="24"/>
          <w:lang w:val="uk-UA"/>
        </w:rPr>
      </w:pPr>
      <w:r>
        <w:rPr>
          <w:rFonts w:eastAsia="Garamond" w:cs="Arial" w:ascii="Arial" w:hAnsi="Arial"/>
          <w:sz w:val="24"/>
          <w:szCs w:val="24"/>
          <w:lang w:val="uk-UA"/>
        </w:rPr>
        <w:t>Компанія знаходиться під впливом кредитного ризику, який представляє собою ризик того, що одна сторона фінансового інструменту призведе до фінансових втрат для іншої сторони внаслідок невиконання зобов’язання за договором. Кредитний ризик виникає в результаті надання послуг Компанією на умовах кредиту та інших угод з контрагентами, внаслідок яких виникають фінансові активи.</w:t>
      </w:r>
    </w:p>
    <w:p>
      <w:pPr>
        <w:pStyle w:val="Normal"/>
        <w:spacing w:lineRule="auto" w:line="240" w:before="0" w:after="0"/>
        <w:rPr>
          <w:rFonts w:ascii="Arial" w:hAnsi="Arial" w:cs="Arial"/>
          <w:sz w:val="10"/>
          <w:szCs w:val="10"/>
          <w:lang w:val="uk-UA"/>
        </w:rPr>
      </w:pPr>
      <w:r>
        <w:rPr>
          <w:rFonts w:cs="Arial" w:ascii="Arial" w:hAnsi="Arial"/>
          <w:sz w:val="10"/>
          <w:szCs w:val="10"/>
          <w:lang w:val="uk-UA"/>
        </w:rPr>
      </w:r>
    </w:p>
    <w:p>
      <w:pPr>
        <w:pStyle w:val="Normal"/>
        <w:spacing w:lineRule="auto" w:line="240" w:before="0" w:after="0"/>
        <w:jc w:val="both"/>
        <w:rPr>
          <w:rFonts w:ascii="Arial" w:hAnsi="Arial" w:eastAsia="Garamond" w:cs="Arial"/>
          <w:sz w:val="24"/>
          <w:szCs w:val="24"/>
          <w:lang w:val="uk-UA"/>
        </w:rPr>
      </w:pPr>
      <w:r>
        <w:rPr>
          <w:rFonts w:eastAsia="Garamond" w:cs="Arial" w:ascii="Arial" w:hAnsi="Arial"/>
          <w:sz w:val="24"/>
          <w:szCs w:val="24"/>
          <w:lang w:val="uk-UA"/>
        </w:rPr>
        <w:t>Фінансові інструменти, за якими у Компанії може з’явитися значний кредитний ризик, представлені в основному дебіторською заборгованістю і грошовими коштами та їх еквівалентами.</w:t>
      </w:r>
    </w:p>
    <w:p>
      <w:pPr>
        <w:pStyle w:val="Normal"/>
        <w:spacing w:lineRule="auto" w:line="240" w:before="0" w:after="0"/>
        <w:jc w:val="both"/>
        <w:rPr>
          <w:rFonts w:ascii="Arial" w:hAnsi="Arial" w:cs="Arial"/>
          <w:sz w:val="10"/>
          <w:szCs w:val="10"/>
          <w:lang w:val="uk-UA"/>
        </w:rPr>
      </w:pPr>
      <w:r>
        <w:rPr>
          <w:rFonts w:cs="Arial" w:ascii="Arial" w:hAnsi="Arial"/>
          <w:sz w:val="10"/>
          <w:szCs w:val="10"/>
          <w:lang w:val="uk-UA"/>
        </w:rPr>
      </w:r>
    </w:p>
    <w:p>
      <w:pPr>
        <w:pStyle w:val="Normal"/>
        <w:spacing w:lineRule="auto" w:line="240" w:before="0" w:after="0"/>
        <w:jc w:val="both"/>
        <w:rPr>
          <w:rFonts w:ascii="Arial" w:hAnsi="Arial" w:eastAsia="Garamond" w:cs="Arial"/>
          <w:sz w:val="24"/>
          <w:szCs w:val="24"/>
          <w:lang w:val="uk-UA"/>
        </w:rPr>
      </w:pPr>
      <w:r>
        <w:rPr>
          <w:rFonts w:eastAsia="Garamond" w:cs="Arial" w:ascii="Arial" w:hAnsi="Arial"/>
          <w:sz w:val="24"/>
          <w:szCs w:val="24"/>
          <w:lang w:val="uk-UA"/>
        </w:rPr>
        <w:t>У наступній таблиці представлений максимальний розмір кредитного ризику за компонентами Звіту про фінансовий стан:</w:t>
      </w:r>
    </w:p>
    <w:p>
      <w:pPr>
        <w:pStyle w:val="Normal"/>
        <w:spacing w:lineRule="auto" w:line="240" w:before="0" w:after="0"/>
        <w:jc w:val="both"/>
        <w:rPr>
          <w:rFonts w:ascii="Arial" w:hAnsi="Arial" w:eastAsia="Garamond" w:cs="Arial"/>
          <w:sz w:val="24"/>
          <w:szCs w:val="24"/>
          <w:lang w:val="uk-UA"/>
        </w:rPr>
      </w:pPr>
      <w:r>
        <w:rPr>
          <w:rFonts w:eastAsia="Garamond" w:cs="Arial" w:ascii="Arial" w:hAnsi="Arial"/>
          <w:sz w:val="24"/>
          <w:szCs w:val="24"/>
          <w:lang w:val="uk-UA"/>
        </w:rPr>
      </w:r>
    </w:p>
    <w:p>
      <w:pPr>
        <w:pStyle w:val="Normal"/>
        <w:spacing w:lineRule="auto" w:line="240" w:before="0" w:after="0"/>
        <w:jc w:val="both"/>
        <w:rPr>
          <w:rFonts w:ascii="Arial" w:hAnsi="Arial" w:cs="Arial"/>
          <w:sz w:val="24"/>
          <w:szCs w:val="24"/>
          <w:lang w:val="uk-UA"/>
        </w:rPr>
      </w:pPr>
      <w:r>
        <w:rPr>
          <w:rFonts w:cs="Arial" w:ascii="Arial" w:hAnsi="Arial"/>
          <w:sz w:val="24"/>
          <w:szCs w:val="24"/>
          <w:lang w:val="uk-UA"/>
        </w:rPr>
      </w:r>
    </w:p>
    <w:tbl>
      <w:tblPr>
        <w:tblW w:w="9364" w:type="dxa"/>
        <w:jc w:val="left"/>
        <w:tblInd w:w="108" w:type="dxa"/>
        <w:tblCellMar>
          <w:top w:w="0" w:type="dxa"/>
          <w:left w:w="108" w:type="dxa"/>
          <w:bottom w:w="0" w:type="dxa"/>
          <w:right w:w="108" w:type="dxa"/>
        </w:tblCellMar>
        <w:tblLook w:firstRow="1" w:noVBand="0" w:lastRow="1" w:firstColumn="1" w:lastColumn="1" w:noHBand="0" w:val="01e0"/>
      </w:tblPr>
      <w:tblGrid>
        <w:gridCol w:w="6095"/>
        <w:gridCol w:w="1502"/>
        <w:gridCol w:w="235"/>
        <w:gridCol w:w="1531"/>
      </w:tblGrid>
      <w:tr>
        <w:trPr>
          <w:trHeight w:val="20" w:hRule="atLeast"/>
        </w:trPr>
        <w:tc>
          <w:tcPr>
            <w:tcW w:w="6095" w:type="dxa"/>
            <w:tcBorders/>
          </w:tcPr>
          <w:p>
            <w:pPr>
              <w:pStyle w:val="Normal"/>
              <w:spacing w:lineRule="auto" w:line="240" w:before="0" w:after="0"/>
              <w:ind w:hanging="193"/>
              <w:rPr>
                <w:rFonts w:ascii="Arial" w:hAnsi="Arial" w:cs="Arial"/>
                <w:lang w:val="uk-UA"/>
              </w:rPr>
            </w:pPr>
            <w:r>
              <w:rPr>
                <w:rFonts w:cs="Arial" w:ascii="Arial" w:hAnsi="Arial"/>
                <w:lang w:val="uk-UA"/>
              </w:rPr>
            </w:r>
          </w:p>
        </w:tc>
        <w:tc>
          <w:tcPr>
            <w:tcW w:w="1502" w:type="dxa"/>
            <w:tcBorders>
              <w:bottom w:val="single" w:sz="4" w:space="0" w:color="000000"/>
            </w:tcBorders>
            <w:vAlign w:val="center"/>
          </w:tcPr>
          <w:p>
            <w:pPr>
              <w:pStyle w:val="Normal"/>
              <w:spacing w:lineRule="auto" w:line="240" w:before="0" w:after="0"/>
              <w:ind w:left="-108" w:right="-108" w:hanging="0"/>
              <w:jc w:val="center"/>
              <w:rPr>
                <w:rFonts w:ascii="Arial" w:hAnsi="Arial" w:eastAsia="Garamond" w:cs="Arial"/>
                <w:lang w:val="uk-UA"/>
              </w:rPr>
            </w:pPr>
            <w:r>
              <w:rPr>
                <w:rFonts w:eastAsia="Garamond" w:cs="Arial" w:ascii="Arial" w:hAnsi="Arial"/>
                <w:b/>
                <w:bCs/>
                <w:lang w:val="uk-UA"/>
              </w:rPr>
              <w:t>31 грудня 2019</w:t>
            </w:r>
          </w:p>
        </w:tc>
        <w:tc>
          <w:tcPr>
            <w:tcW w:w="235" w:type="dxa"/>
            <w:tcBorders/>
            <w:vAlign w:val="center"/>
          </w:tcPr>
          <w:p>
            <w:pPr>
              <w:pStyle w:val="Normal"/>
              <w:spacing w:lineRule="auto" w:line="240" w:before="0" w:after="0"/>
              <w:ind w:left="-108" w:right="-108" w:hanging="0"/>
              <w:jc w:val="center"/>
              <w:rPr>
                <w:rFonts w:ascii="Arial" w:hAnsi="Arial" w:cs="Arial"/>
                <w:lang w:val="uk-UA"/>
              </w:rPr>
            </w:pPr>
            <w:r>
              <w:rPr>
                <w:rFonts w:cs="Arial" w:ascii="Arial" w:hAnsi="Arial"/>
                <w:lang w:val="uk-UA"/>
              </w:rPr>
            </w:r>
          </w:p>
        </w:tc>
        <w:tc>
          <w:tcPr>
            <w:tcW w:w="1531" w:type="dxa"/>
            <w:tcBorders>
              <w:bottom w:val="single" w:sz="4" w:space="0" w:color="000000"/>
            </w:tcBorders>
            <w:vAlign w:val="center"/>
          </w:tcPr>
          <w:p>
            <w:pPr>
              <w:pStyle w:val="Normal"/>
              <w:spacing w:lineRule="auto" w:line="240" w:before="0" w:after="0"/>
              <w:ind w:left="-108" w:right="-108" w:hanging="0"/>
              <w:jc w:val="center"/>
              <w:rPr>
                <w:rFonts w:ascii="Arial" w:hAnsi="Arial" w:eastAsia="Garamond" w:cs="Arial"/>
                <w:lang w:val="uk-UA"/>
              </w:rPr>
            </w:pPr>
            <w:r>
              <w:rPr>
                <w:rFonts w:eastAsia="Garamond" w:cs="Arial" w:ascii="Arial" w:hAnsi="Arial"/>
                <w:b/>
                <w:bCs/>
                <w:lang w:val="uk-UA"/>
              </w:rPr>
              <w:t>31 грудня 2018</w:t>
            </w:r>
          </w:p>
        </w:tc>
      </w:tr>
      <w:tr>
        <w:trPr>
          <w:trHeight w:val="20" w:hRule="atLeast"/>
        </w:trPr>
        <w:tc>
          <w:tcPr>
            <w:tcW w:w="6095" w:type="dxa"/>
            <w:tcBorders/>
          </w:tcPr>
          <w:p>
            <w:pPr>
              <w:pStyle w:val="Normal"/>
              <w:spacing w:lineRule="auto" w:line="240" w:before="0" w:after="0"/>
              <w:ind w:left="-108" w:hanging="0"/>
              <w:rPr>
                <w:rFonts w:ascii="Arial" w:hAnsi="Arial" w:eastAsia="Garamond" w:cs="Arial"/>
                <w:lang w:val="uk-UA"/>
              </w:rPr>
            </w:pPr>
            <w:r>
              <w:rPr>
                <w:rFonts w:eastAsia="Garamond" w:cs="Arial" w:ascii="Arial" w:hAnsi="Arial"/>
                <w:lang w:val="uk-UA"/>
              </w:rPr>
              <w:t>Торгова та інша дебіторська заборгованість</w:t>
            </w:r>
          </w:p>
        </w:tc>
        <w:tc>
          <w:tcPr>
            <w:tcW w:w="1502" w:type="dxa"/>
            <w:tcBorders>
              <w:top w:val="single" w:sz="4" w:space="0" w:color="000000"/>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237,989</w:t>
            </w:r>
          </w:p>
        </w:tc>
        <w:tc>
          <w:tcPr>
            <w:tcW w:w="235" w:type="dxa"/>
            <w:tcBorders/>
            <w:vAlign w:val="center"/>
          </w:tcPr>
          <w:p>
            <w:pPr>
              <w:pStyle w:val="Normal"/>
              <w:spacing w:lineRule="auto" w:line="240" w:before="0" w:after="0"/>
              <w:jc w:val="right"/>
              <w:rPr>
                <w:rFonts w:ascii="Arial" w:hAnsi="Arial" w:cs="Arial"/>
                <w:lang w:val="uk-UA"/>
              </w:rPr>
            </w:pPr>
            <w:r>
              <w:rPr>
                <w:rFonts w:cs="Arial" w:ascii="Arial" w:hAnsi="Arial"/>
                <w:lang w:val="uk-UA"/>
              </w:rPr>
            </w:r>
          </w:p>
        </w:tc>
        <w:tc>
          <w:tcPr>
            <w:tcW w:w="1531" w:type="dxa"/>
            <w:tcBorders>
              <w:top w:val="single" w:sz="4" w:space="0" w:color="000000"/>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155,633</w:t>
            </w:r>
          </w:p>
        </w:tc>
      </w:tr>
      <w:tr>
        <w:trPr>
          <w:trHeight w:val="20" w:hRule="atLeast"/>
        </w:trPr>
        <w:tc>
          <w:tcPr>
            <w:tcW w:w="6095" w:type="dxa"/>
            <w:tcBorders/>
          </w:tcPr>
          <w:p>
            <w:pPr>
              <w:pStyle w:val="Normal"/>
              <w:spacing w:lineRule="auto" w:line="240" w:before="0" w:after="0"/>
              <w:ind w:left="-108" w:hanging="0"/>
              <w:rPr>
                <w:rFonts w:ascii="Arial" w:hAnsi="Arial" w:eastAsia="Garamond" w:cs="Arial"/>
                <w:lang w:val="uk-UA"/>
              </w:rPr>
            </w:pPr>
            <w:r>
              <w:rPr>
                <w:rFonts w:eastAsia="Garamond" w:cs="Arial" w:ascii="Arial" w:hAnsi="Arial"/>
                <w:lang w:val="uk-UA"/>
              </w:rPr>
              <w:t>Державні дотації до отримання</w:t>
            </w:r>
          </w:p>
        </w:tc>
        <w:tc>
          <w:tcPr>
            <w:tcW w:w="1502" w:type="dxa"/>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1,793</w:t>
            </w:r>
          </w:p>
        </w:tc>
        <w:tc>
          <w:tcPr>
            <w:tcW w:w="235" w:type="dxa"/>
            <w:tcBorders/>
            <w:vAlign w:val="center"/>
          </w:tcPr>
          <w:p>
            <w:pPr>
              <w:pStyle w:val="Normal"/>
              <w:spacing w:lineRule="auto" w:line="240" w:before="0" w:after="0"/>
              <w:jc w:val="right"/>
              <w:rPr>
                <w:rFonts w:ascii="Arial" w:hAnsi="Arial" w:cs="Arial"/>
                <w:lang w:val="uk-UA"/>
              </w:rPr>
            </w:pPr>
            <w:r>
              <w:rPr>
                <w:rFonts w:cs="Arial" w:ascii="Arial" w:hAnsi="Arial"/>
                <w:lang w:val="uk-UA"/>
              </w:rPr>
            </w:r>
          </w:p>
        </w:tc>
        <w:tc>
          <w:tcPr>
            <w:tcW w:w="1531" w:type="dxa"/>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1,793</w:t>
            </w:r>
          </w:p>
        </w:tc>
      </w:tr>
      <w:tr>
        <w:trPr>
          <w:trHeight w:val="20" w:hRule="atLeast"/>
        </w:trPr>
        <w:tc>
          <w:tcPr>
            <w:tcW w:w="6095" w:type="dxa"/>
            <w:tcBorders/>
          </w:tcPr>
          <w:p>
            <w:pPr>
              <w:pStyle w:val="Normal"/>
              <w:spacing w:lineRule="auto" w:line="240" w:before="0" w:after="0"/>
              <w:ind w:left="-108" w:hanging="0"/>
              <w:rPr>
                <w:rFonts w:ascii="Arial" w:hAnsi="Arial" w:eastAsia="Garamond" w:cs="Arial"/>
                <w:lang w:val="uk-UA"/>
              </w:rPr>
            </w:pPr>
            <w:r>
              <w:rPr>
                <w:rFonts w:eastAsia="Garamond" w:cs="Arial" w:ascii="Arial" w:hAnsi="Arial"/>
                <w:lang w:val="uk-UA"/>
              </w:rPr>
              <w:t>Грошові кошти та їх еквіваленти</w:t>
            </w:r>
          </w:p>
        </w:tc>
        <w:tc>
          <w:tcPr>
            <w:tcW w:w="1502" w:type="dxa"/>
            <w:tcBorders>
              <w:bottom w:val="single" w:sz="4" w:space="0" w:color="000000"/>
            </w:tcBorders>
            <w:vAlign w:val="center"/>
          </w:tcPr>
          <w:p>
            <w:pPr>
              <w:pStyle w:val="Normal"/>
              <w:tabs>
                <w:tab w:val="clear" w:pos="720"/>
                <w:tab w:val="left" w:pos="880" w:leader="none"/>
                <w:tab w:val="left" w:pos="1500" w:leader="none"/>
              </w:tabs>
              <w:spacing w:lineRule="auto" w:line="240" w:before="0" w:after="0"/>
              <w:jc w:val="right"/>
              <w:rPr>
                <w:rFonts w:ascii="Arial" w:hAnsi="Arial" w:eastAsia="Garamond" w:cs="Arial"/>
                <w:lang w:val="uk-UA"/>
              </w:rPr>
            </w:pPr>
            <w:r>
              <w:rPr>
                <w:rFonts w:eastAsia="Garamond" w:cs="Arial" w:ascii="Arial" w:hAnsi="Arial"/>
                <w:lang w:val="uk-UA"/>
              </w:rPr>
              <w:t>95,471</w:t>
            </w:r>
          </w:p>
        </w:tc>
        <w:tc>
          <w:tcPr>
            <w:tcW w:w="235" w:type="dxa"/>
            <w:tcBorders/>
            <w:vAlign w:val="center"/>
          </w:tcPr>
          <w:p>
            <w:pPr>
              <w:pStyle w:val="Normal"/>
              <w:spacing w:lineRule="auto" w:line="240" w:before="0" w:after="0"/>
              <w:jc w:val="right"/>
              <w:rPr>
                <w:rFonts w:ascii="Arial" w:hAnsi="Arial" w:cs="Arial"/>
                <w:lang w:val="uk-UA"/>
              </w:rPr>
            </w:pPr>
            <w:r>
              <w:rPr>
                <w:rFonts w:cs="Arial" w:ascii="Arial" w:hAnsi="Arial"/>
                <w:lang w:val="uk-UA"/>
              </w:rPr>
            </w:r>
          </w:p>
        </w:tc>
        <w:tc>
          <w:tcPr>
            <w:tcW w:w="1531" w:type="dxa"/>
            <w:tcBorders>
              <w:bottom w:val="single" w:sz="4" w:space="0" w:color="000000"/>
            </w:tcBorders>
            <w:vAlign w:val="center"/>
          </w:tcPr>
          <w:p>
            <w:pPr>
              <w:pStyle w:val="Normal"/>
              <w:tabs>
                <w:tab w:val="clear" w:pos="720"/>
                <w:tab w:val="left" w:pos="880" w:leader="none"/>
                <w:tab w:val="left" w:pos="1500" w:leader="none"/>
              </w:tabs>
              <w:spacing w:lineRule="auto" w:line="240" w:before="0" w:after="0"/>
              <w:jc w:val="right"/>
              <w:rPr>
                <w:rFonts w:ascii="Arial" w:hAnsi="Arial" w:eastAsia="Garamond" w:cs="Arial"/>
                <w:lang w:val="uk-UA"/>
              </w:rPr>
            </w:pPr>
            <w:r>
              <w:rPr>
                <w:rFonts w:eastAsia="Garamond" w:cs="Arial" w:ascii="Arial" w:hAnsi="Arial"/>
                <w:lang w:val="uk-UA"/>
              </w:rPr>
              <w:t>149,468</w:t>
            </w:r>
          </w:p>
        </w:tc>
      </w:tr>
      <w:tr>
        <w:trPr>
          <w:trHeight w:val="20" w:hRule="atLeast"/>
        </w:trPr>
        <w:tc>
          <w:tcPr>
            <w:tcW w:w="6095" w:type="dxa"/>
            <w:tcBorders/>
          </w:tcPr>
          <w:p>
            <w:pPr>
              <w:pStyle w:val="Normal"/>
              <w:spacing w:lineRule="auto" w:line="240" w:before="0" w:after="0"/>
              <w:ind w:left="-108" w:hanging="0"/>
              <w:rPr>
                <w:rFonts w:ascii="Arial" w:hAnsi="Arial" w:eastAsia="Garamond" w:cs="Arial"/>
                <w:lang w:val="uk-UA"/>
              </w:rPr>
            </w:pPr>
            <w:r>
              <w:rPr>
                <w:rFonts w:eastAsia="Garamond" w:cs="Arial" w:ascii="Arial" w:hAnsi="Arial"/>
                <w:b/>
                <w:bCs/>
                <w:lang w:val="uk-UA"/>
              </w:rPr>
              <w:t>Загальний розмір кредитного ризику</w:t>
            </w:r>
          </w:p>
        </w:tc>
        <w:tc>
          <w:tcPr>
            <w:tcW w:w="1502" w:type="dxa"/>
            <w:tcBorders>
              <w:top w:val="single" w:sz="4" w:space="0" w:color="000000"/>
              <w:bottom w:val="double" w:sz="4" w:space="0" w:color="000000"/>
            </w:tcBorders>
            <w:vAlign w:val="center"/>
          </w:tcPr>
          <w:p>
            <w:pPr>
              <w:pStyle w:val="Normal"/>
              <w:spacing w:lineRule="auto" w:line="240" w:before="0" w:after="0"/>
              <w:jc w:val="right"/>
              <w:rPr>
                <w:rFonts w:ascii="Arial" w:hAnsi="Arial" w:eastAsia="Garamond" w:cs="Arial"/>
                <w:b/>
                <w:b/>
                <w:lang w:val="uk-UA"/>
              </w:rPr>
            </w:pPr>
            <w:r>
              <w:rPr>
                <w:rFonts w:eastAsia="Garamond" w:cs="Arial" w:ascii="Arial" w:hAnsi="Arial"/>
                <w:b/>
                <w:lang w:val="uk-UA"/>
              </w:rPr>
              <w:t>335,253</w:t>
            </w:r>
          </w:p>
        </w:tc>
        <w:tc>
          <w:tcPr>
            <w:tcW w:w="235" w:type="dxa"/>
            <w:tcBorders/>
            <w:vAlign w:val="center"/>
          </w:tcPr>
          <w:p>
            <w:pPr>
              <w:pStyle w:val="Normal"/>
              <w:spacing w:lineRule="auto" w:line="240" w:before="0" w:after="0"/>
              <w:jc w:val="right"/>
              <w:rPr>
                <w:rFonts w:ascii="Arial" w:hAnsi="Arial" w:cs="Arial"/>
                <w:b/>
                <w:b/>
                <w:lang w:val="uk-UA"/>
              </w:rPr>
            </w:pPr>
            <w:r>
              <w:rPr>
                <w:rFonts w:cs="Arial" w:ascii="Arial" w:hAnsi="Arial"/>
                <w:b/>
                <w:lang w:val="uk-UA"/>
              </w:rPr>
            </w:r>
          </w:p>
        </w:tc>
        <w:tc>
          <w:tcPr>
            <w:tcW w:w="1531" w:type="dxa"/>
            <w:tcBorders>
              <w:top w:val="single" w:sz="4" w:space="0" w:color="000000"/>
              <w:bottom w:val="double" w:sz="4" w:space="0" w:color="000000"/>
            </w:tcBorders>
            <w:vAlign w:val="center"/>
          </w:tcPr>
          <w:p>
            <w:pPr>
              <w:pStyle w:val="Normal"/>
              <w:spacing w:lineRule="auto" w:line="240" w:before="0" w:after="0"/>
              <w:jc w:val="right"/>
              <w:rPr>
                <w:rFonts w:ascii="Arial" w:hAnsi="Arial" w:eastAsia="Garamond" w:cs="Arial"/>
                <w:b/>
                <w:b/>
                <w:lang w:val="uk-UA"/>
              </w:rPr>
            </w:pPr>
            <w:r>
              <w:rPr>
                <w:rFonts w:eastAsia="Garamond" w:cs="Arial" w:ascii="Arial" w:hAnsi="Arial"/>
                <w:b/>
                <w:lang w:val="uk-UA"/>
              </w:rPr>
              <w:t>306,894</w:t>
            </w:r>
          </w:p>
        </w:tc>
      </w:tr>
    </w:tbl>
    <w:p>
      <w:pPr>
        <w:pStyle w:val="Normal"/>
        <w:spacing w:lineRule="auto" w:line="240" w:before="0" w:after="0"/>
        <w:jc w:val="both"/>
        <w:rPr>
          <w:rFonts w:ascii="Arial" w:hAnsi="Arial" w:eastAsia="Garamond" w:cs="Arial"/>
          <w:sz w:val="10"/>
          <w:szCs w:val="10"/>
          <w:lang w:val="uk-UA"/>
        </w:rPr>
      </w:pPr>
      <w:r>
        <w:rPr>
          <w:rFonts w:eastAsia="Garamond" w:cs="Arial" w:ascii="Arial" w:hAnsi="Arial"/>
          <w:sz w:val="10"/>
          <w:szCs w:val="10"/>
          <w:lang w:val="uk-UA"/>
        </w:rPr>
      </w:r>
    </w:p>
    <w:p>
      <w:pPr>
        <w:pStyle w:val="Normal"/>
        <w:spacing w:lineRule="auto" w:line="240" w:before="0" w:after="0"/>
        <w:jc w:val="both"/>
        <w:rPr>
          <w:rFonts w:ascii="Arial" w:hAnsi="Arial" w:eastAsia="Garamond" w:cs="Arial"/>
          <w:sz w:val="24"/>
          <w:szCs w:val="24"/>
          <w:lang w:val="uk-UA"/>
        </w:rPr>
      </w:pPr>
      <w:r>
        <w:rPr>
          <w:rFonts w:eastAsia="Garamond" w:cs="Arial" w:ascii="Arial" w:hAnsi="Arial"/>
          <w:sz w:val="24"/>
          <w:szCs w:val="24"/>
          <w:lang w:val="uk-UA"/>
        </w:rPr>
        <w:t>Компанія відстежує та аналізує кредитний ризик для кожного конкретного випадку на індивідуальній основі та ґрунтуючись на історичному досвіді. Керівництво Компанії вважає, що немає суттєвих ризиків втрат через зниження вартості активів. Максимальний розмір кредитного ризику Компанії за класами активів представлений балансовою вартістю фінансових активів у Звіті про фінансовий стан.</w:t>
      </w:r>
    </w:p>
    <w:p>
      <w:pPr>
        <w:pStyle w:val="Normal"/>
        <w:spacing w:lineRule="auto" w:line="240" w:before="0" w:after="0"/>
        <w:rPr>
          <w:rFonts w:ascii="Arial" w:hAnsi="Arial" w:cs="Arial"/>
          <w:sz w:val="6"/>
          <w:szCs w:val="6"/>
          <w:lang w:val="uk-UA"/>
        </w:rPr>
      </w:pPr>
      <w:r>
        <w:rPr>
          <w:rFonts w:cs="Arial" w:ascii="Arial" w:hAnsi="Arial"/>
          <w:sz w:val="6"/>
          <w:szCs w:val="6"/>
          <w:lang w:val="uk-UA"/>
        </w:rPr>
      </w:r>
    </w:p>
    <w:p>
      <w:pPr>
        <w:pStyle w:val="Normal"/>
        <w:spacing w:lineRule="auto" w:line="240" w:before="0" w:after="0"/>
        <w:jc w:val="both"/>
        <w:rPr>
          <w:rFonts w:ascii="Arial" w:hAnsi="Arial" w:eastAsia="Garamond" w:cs="Arial"/>
          <w:sz w:val="24"/>
          <w:szCs w:val="24"/>
          <w:lang w:val="uk-UA"/>
        </w:rPr>
      </w:pPr>
      <w:r>
        <w:rPr>
          <w:rFonts w:eastAsia="Garamond" w:cs="Arial" w:ascii="Arial" w:hAnsi="Arial"/>
          <w:sz w:val="24"/>
          <w:szCs w:val="24"/>
          <w:lang w:val="uk-UA"/>
        </w:rPr>
        <w:t>Керівництво Компанії здійснює аналіз торгової дебіторської заборгованості, що підлягає сплаті споживачами послуг теплопостачання та гарячого водопостачання, за строками її виникнення та стежить за простроченими залишками.</w:t>
      </w:r>
    </w:p>
    <w:p>
      <w:pPr>
        <w:pStyle w:val="Normal"/>
        <w:spacing w:lineRule="auto" w:line="240" w:before="0" w:after="0"/>
        <w:rPr>
          <w:rFonts w:ascii="Arial" w:hAnsi="Arial" w:cs="Arial"/>
          <w:color w:val="0070C0"/>
          <w:sz w:val="6"/>
          <w:szCs w:val="6"/>
          <w:lang w:val="uk-UA"/>
        </w:rPr>
      </w:pPr>
      <w:r>
        <w:rPr>
          <w:rFonts w:cs="Arial" w:ascii="Arial" w:hAnsi="Arial"/>
          <w:color w:val="0070C0"/>
          <w:sz w:val="6"/>
          <w:szCs w:val="6"/>
          <w:lang w:val="uk-UA"/>
        </w:rPr>
      </w:r>
    </w:p>
    <w:p>
      <w:pPr>
        <w:pStyle w:val="Normal"/>
        <w:spacing w:lineRule="auto" w:line="240" w:before="0" w:after="0"/>
        <w:jc w:val="both"/>
        <w:rPr>
          <w:rFonts w:ascii="Arial" w:hAnsi="Arial" w:eastAsia="Garamond" w:cs="Arial"/>
          <w:sz w:val="24"/>
          <w:szCs w:val="24"/>
          <w:lang w:val="uk-UA"/>
        </w:rPr>
      </w:pPr>
      <w:r>
        <w:rPr>
          <w:rFonts w:eastAsia="Garamond" w:cs="Arial" w:ascii="Arial" w:hAnsi="Arial"/>
          <w:sz w:val="24"/>
          <w:szCs w:val="24"/>
          <w:lang w:val="uk-UA"/>
        </w:rPr>
        <w:t>Аналіз дебіторської заборгованості за строками виникнення станом на 31 грудня 2019 р. та 31 грудня 2018 р. представлений наступним чином:</w:t>
      </w:r>
    </w:p>
    <w:p>
      <w:pPr>
        <w:pStyle w:val="Normal"/>
        <w:spacing w:lineRule="auto" w:line="240" w:before="0" w:after="0"/>
        <w:jc w:val="both"/>
        <w:rPr>
          <w:rFonts w:ascii="Arial" w:hAnsi="Arial" w:eastAsia="Garamond" w:cs="Arial"/>
          <w:sz w:val="10"/>
          <w:szCs w:val="10"/>
          <w:lang w:val="uk-UA"/>
        </w:rPr>
      </w:pPr>
      <w:r>
        <w:rPr>
          <w:rFonts w:eastAsia="Garamond" w:cs="Arial" w:ascii="Arial" w:hAnsi="Arial"/>
          <w:sz w:val="10"/>
          <w:szCs w:val="10"/>
          <w:lang w:val="uk-UA"/>
        </w:rPr>
      </w:r>
    </w:p>
    <w:tbl>
      <w:tblPr>
        <w:tblW w:w="9600" w:type="dxa"/>
        <w:jc w:val="left"/>
        <w:tblInd w:w="108" w:type="dxa"/>
        <w:tblCellMar>
          <w:top w:w="0" w:type="dxa"/>
          <w:left w:w="108" w:type="dxa"/>
          <w:bottom w:w="0" w:type="dxa"/>
          <w:right w:w="108" w:type="dxa"/>
        </w:tblCellMar>
        <w:tblLook w:firstRow="1" w:noVBand="0" w:lastRow="1" w:firstColumn="1" w:lastColumn="1" w:noHBand="0" w:val="01e0"/>
      </w:tblPr>
      <w:tblGrid>
        <w:gridCol w:w="6065"/>
        <w:gridCol w:w="1531"/>
        <w:gridCol w:w="235"/>
        <w:gridCol w:w="1531"/>
        <w:gridCol w:w="238"/>
      </w:tblGrid>
      <w:tr>
        <w:trPr>
          <w:trHeight w:val="20" w:hRule="atLeast"/>
        </w:trPr>
        <w:tc>
          <w:tcPr>
            <w:tcW w:w="6065" w:type="dxa"/>
            <w:tcBorders/>
          </w:tcPr>
          <w:p>
            <w:pPr>
              <w:pStyle w:val="Normal"/>
              <w:spacing w:lineRule="auto" w:line="240" w:before="0" w:after="0"/>
              <w:rPr>
                <w:rFonts w:ascii="Arial" w:hAnsi="Arial" w:eastAsia="Garamond" w:cs="Arial"/>
                <w:lang w:val="uk-UA"/>
              </w:rPr>
            </w:pPr>
            <w:r>
              <w:rPr>
                <w:rFonts w:eastAsia="Garamond" w:cs="Arial" w:ascii="Arial" w:hAnsi="Arial"/>
                <w:lang w:val="uk-UA"/>
              </w:rPr>
            </w:r>
          </w:p>
        </w:tc>
        <w:tc>
          <w:tcPr>
            <w:tcW w:w="1531" w:type="dxa"/>
            <w:tcBorders/>
            <w:vAlign w:val="center"/>
          </w:tcPr>
          <w:p>
            <w:pPr>
              <w:pStyle w:val="Normal"/>
              <w:spacing w:lineRule="auto" w:line="240" w:before="0" w:after="0"/>
              <w:ind w:left="-108" w:right="-108" w:hanging="0"/>
              <w:jc w:val="center"/>
              <w:rPr>
                <w:rFonts w:ascii="Arial" w:hAnsi="Arial" w:eastAsia="Garamond" w:cs="Arial"/>
                <w:lang w:val="uk-UA"/>
              </w:rPr>
            </w:pPr>
            <w:r>
              <w:rPr>
                <w:rFonts w:eastAsia="Garamond" w:cs="Arial" w:ascii="Arial" w:hAnsi="Arial"/>
                <w:b/>
                <w:bCs/>
                <w:lang w:val="uk-UA"/>
              </w:rPr>
              <w:t>31 грудня 2019</w:t>
            </w:r>
          </w:p>
        </w:tc>
        <w:tc>
          <w:tcPr>
            <w:tcW w:w="235" w:type="dxa"/>
            <w:tcBorders/>
            <w:vAlign w:val="center"/>
          </w:tcPr>
          <w:p>
            <w:pPr>
              <w:pStyle w:val="Normal"/>
              <w:spacing w:lineRule="auto" w:line="240" w:before="0" w:after="0"/>
              <w:ind w:left="-108" w:right="-108" w:hanging="0"/>
              <w:jc w:val="center"/>
              <w:rPr>
                <w:rFonts w:ascii="Arial" w:hAnsi="Arial" w:cs="Arial"/>
                <w:lang w:val="uk-UA"/>
              </w:rPr>
            </w:pPr>
            <w:r>
              <w:rPr>
                <w:rFonts w:cs="Arial" w:ascii="Arial" w:hAnsi="Arial"/>
                <w:lang w:val="uk-UA"/>
              </w:rPr>
            </w:r>
          </w:p>
        </w:tc>
        <w:tc>
          <w:tcPr>
            <w:tcW w:w="1531" w:type="dxa"/>
            <w:tcBorders/>
            <w:vAlign w:val="center"/>
          </w:tcPr>
          <w:p>
            <w:pPr>
              <w:pStyle w:val="Normal"/>
              <w:spacing w:lineRule="auto" w:line="240" w:before="0" w:after="0"/>
              <w:ind w:left="-108" w:right="-108" w:hanging="0"/>
              <w:jc w:val="center"/>
              <w:rPr>
                <w:rFonts w:ascii="Arial" w:hAnsi="Arial" w:eastAsia="Garamond" w:cs="Arial"/>
                <w:lang w:val="uk-UA"/>
              </w:rPr>
            </w:pPr>
            <w:r>
              <w:rPr>
                <w:rFonts w:eastAsia="Garamond" w:cs="Arial" w:ascii="Arial" w:hAnsi="Arial"/>
                <w:b/>
                <w:bCs/>
                <w:lang w:val="uk-UA"/>
              </w:rPr>
              <w:t>31 грудня 2018</w:t>
            </w:r>
          </w:p>
        </w:tc>
        <w:tc>
          <w:tcPr>
            <w:tcW w:w="238" w:type="dxa"/>
            <w:tcBorders/>
          </w:tcPr>
          <w:p>
            <w:pPr>
              <w:pStyle w:val="Normal"/>
              <w:spacing w:before="0" w:after="200"/>
              <w:rPr>
                <w:rFonts w:ascii="Arial" w:hAnsi="Arial" w:eastAsia="Garamond" w:cs="Arial"/>
                <w:b/>
                <w:b/>
                <w:bCs/>
                <w:sz w:val="24"/>
                <w:szCs w:val="24"/>
                <w:lang w:val="uk-UA"/>
              </w:rPr>
            </w:pPr>
            <w:r>
              <w:rPr>
                <w:rFonts w:eastAsia="Garamond" w:cs="Arial" w:ascii="Arial" w:hAnsi="Arial"/>
                <w:b/>
                <w:bCs/>
                <w:sz w:val="24"/>
                <w:szCs w:val="24"/>
                <w:lang w:val="uk-UA"/>
              </w:rPr>
            </w:r>
          </w:p>
        </w:tc>
      </w:tr>
      <w:tr>
        <w:trPr>
          <w:trHeight w:val="20" w:hRule="atLeast"/>
        </w:trPr>
        <w:tc>
          <w:tcPr>
            <w:tcW w:w="6065" w:type="dxa"/>
            <w:tcBorders/>
          </w:tcPr>
          <w:p>
            <w:pPr>
              <w:pStyle w:val="Normal"/>
              <w:spacing w:lineRule="auto" w:line="240" w:before="0" w:after="0"/>
              <w:ind w:left="-108" w:hanging="0"/>
              <w:rPr>
                <w:rFonts w:ascii="Arial" w:hAnsi="Arial" w:eastAsia="Garamond" w:cs="Arial"/>
                <w:lang w:val="uk-UA"/>
              </w:rPr>
            </w:pPr>
            <w:r>
              <w:rPr>
                <w:rFonts w:eastAsia="Garamond" w:cs="Arial" w:ascii="Arial" w:hAnsi="Arial"/>
                <w:lang w:val="uk-UA"/>
              </w:rPr>
              <w:t>До 12 місяців</w:t>
            </w:r>
          </w:p>
        </w:tc>
        <w:tc>
          <w:tcPr>
            <w:tcW w:w="1531" w:type="dxa"/>
            <w:tcBorders>
              <w:top w:val="single" w:sz="4" w:space="0" w:color="000000"/>
            </w:tcBorders>
          </w:tcPr>
          <w:p>
            <w:pPr>
              <w:pStyle w:val="Normal"/>
              <w:spacing w:lineRule="auto" w:line="240" w:before="0" w:after="0"/>
              <w:jc w:val="right"/>
              <w:rPr>
                <w:rFonts w:ascii="Arial" w:hAnsi="Arial" w:eastAsia="Garamond" w:cs="Arial"/>
                <w:lang w:val="uk-UA"/>
              </w:rPr>
            </w:pPr>
            <w:r>
              <w:rPr>
                <w:rFonts w:eastAsia="Garamond" w:cs="Arial" w:ascii="Arial" w:hAnsi="Arial"/>
                <w:lang w:val="uk-UA"/>
              </w:rPr>
              <w:t>232,468</w:t>
            </w:r>
          </w:p>
        </w:tc>
        <w:tc>
          <w:tcPr>
            <w:tcW w:w="235" w:type="dxa"/>
            <w:tcBorders/>
          </w:tcPr>
          <w:p>
            <w:pPr>
              <w:pStyle w:val="Normal"/>
              <w:spacing w:lineRule="auto" w:line="240" w:before="0" w:after="0"/>
              <w:rPr>
                <w:rFonts w:ascii="Arial" w:hAnsi="Arial" w:cs="Arial"/>
                <w:lang w:val="uk-UA"/>
              </w:rPr>
            </w:pPr>
            <w:r>
              <w:rPr>
                <w:rFonts w:cs="Arial" w:ascii="Arial" w:hAnsi="Arial"/>
                <w:lang w:val="uk-UA"/>
              </w:rPr>
            </w:r>
          </w:p>
        </w:tc>
        <w:tc>
          <w:tcPr>
            <w:tcW w:w="1531" w:type="dxa"/>
            <w:tcBorders>
              <w:top w:val="single" w:sz="4" w:space="0" w:color="000000"/>
            </w:tcBorders>
          </w:tcPr>
          <w:p>
            <w:pPr>
              <w:pStyle w:val="Normal"/>
              <w:spacing w:lineRule="auto" w:line="240" w:before="0" w:after="0"/>
              <w:jc w:val="right"/>
              <w:rPr>
                <w:rFonts w:ascii="Arial" w:hAnsi="Arial" w:eastAsia="Garamond" w:cs="Arial"/>
                <w:lang w:val="uk-UA"/>
              </w:rPr>
            </w:pPr>
            <w:r>
              <w:rPr>
                <w:rFonts w:eastAsia="Garamond" w:cs="Arial" w:ascii="Arial" w:hAnsi="Arial"/>
                <w:lang w:val="uk-UA"/>
              </w:rPr>
              <w:t>152,552</w:t>
            </w:r>
          </w:p>
        </w:tc>
        <w:tc>
          <w:tcPr>
            <w:tcW w:w="238" w:type="dxa"/>
            <w:tcBorders/>
          </w:tcPr>
          <w:p>
            <w:pPr>
              <w:pStyle w:val="Normal"/>
              <w:spacing w:lineRule="auto" w:line="240" w:before="0" w:after="0"/>
              <w:rPr>
                <w:rFonts w:ascii="Arial" w:hAnsi="Arial" w:cs="Arial"/>
                <w:lang w:val="uk-UA"/>
              </w:rPr>
            </w:pPr>
            <w:r>
              <w:rPr>
                <w:rFonts w:cs="Arial" w:ascii="Arial" w:hAnsi="Arial"/>
                <w:lang w:val="uk-UA"/>
              </w:rPr>
            </w:r>
          </w:p>
        </w:tc>
      </w:tr>
      <w:tr>
        <w:trPr>
          <w:trHeight w:val="20" w:hRule="atLeast"/>
        </w:trPr>
        <w:tc>
          <w:tcPr>
            <w:tcW w:w="6065" w:type="dxa"/>
            <w:tcBorders/>
          </w:tcPr>
          <w:p>
            <w:pPr>
              <w:pStyle w:val="Normal"/>
              <w:spacing w:lineRule="auto" w:line="240" w:before="0" w:after="0"/>
              <w:ind w:left="-108" w:hanging="0"/>
              <w:rPr>
                <w:rFonts w:ascii="Arial" w:hAnsi="Arial" w:eastAsia="Garamond" w:cs="Arial"/>
                <w:lang w:val="uk-UA"/>
              </w:rPr>
            </w:pPr>
            <w:r>
              <w:rPr>
                <w:rFonts w:eastAsia="Garamond" w:cs="Arial" w:ascii="Arial" w:hAnsi="Arial"/>
                <w:lang w:val="uk-UA"/>
              </w:rPr>
              <w:t>Від 12 до 18 місяців</w:t>
            </w:r>
          </w:p>
        </w:tc>
        <w:tc>
          <w:tcPr>
            <w:tcW w:w="1531" w:type="dxa"/>
            <w:tcBorders/>
          </w:tcPr>
          <w:p>
            <w:pPr>
              <w:pStyle w:val="Normal"/>
              <w:spacing w:lineRule="auto" w:line="240" w:before="0" w:after="0"/>
              <w:jc w:val="right"/>
              <w:rPr>
                <w:rFonts w:ascii="Arial" w:hAnsi="Arial" w:eastAsia="Garamond" w:cs="Arial"/>
                <w:lang w:val="uk-UA"/>
              </w:rPr>
            </w:pPr>
            <w:r>
              <w:rPr>
                <w:rFonts w:eastAsia="Garamond" w:cs="Arial" w:ascii="Arial" w:hAnsi="Arial"/>
                <w:lang w:val="uk-UA"/>
              </w:rPr>
              <w:t>7,481</w:t>
            </w:r>
          </w:p>
        </w:tc>
        <w:tc>
          <w:tcPr>
            <w:tcW w:w="235" w:type="dxa"/>
            <w:tcBorders/>
          </w:tcPr>
          <w:p>
            <w:pPr>
              <w:pStyle w:val="Normal"/>
              <w:spacing w:lineRule="auto" w:line="240" w:before="0" w:after="0"/>
              <w:rPr>
                <w:rFonts w:ascii="Arial" w:hAnsi="Arial" w:cs="Arial"/>
                <w:lang w:val="uk-UA"/>
              </w:rPr>
            </w:pPr>
            <w:r>
              <w:rPr>
                <w:rFonts w:cs="Arial" w:ascii="Arial" w:hAnsi="Arial"/>
                <w:lang w:val="uk-UA"/>
              </w:rPr>
            </w:r>
          </w:p>
        </w:tc>
        <w:tc>
          <w:tcPr>
            <w:tcW w:w="1531" w:type="dxa"/>
            <w:tcBorders/>
          </w:tcPr>
          <w:p>
            <w:pPr>
              <w:pStyle w:val="Normal"/>
              <w:spacing w:lineRule="auto" w:line="240" w:before="0" w:after="0"/>
              <w:jc w:val="right"/>
              <w:rPr>
                <w:rFonts w:ascii="Arial" w:hAnsi="Arial" w:eastAsia="Garamond" w:cs="Arial"/>
                <w:lang w:val="uk-UA"/>
              </w:rPr>
            </w:pPr>
            <w:r>
              <w:rPr>
                <w:rFonts w:eastAsia="Garamond" w:cs="Arial" w:ascii="Arial" w:hAnsi="Arial"/>
                <w:lang w:val="uk-UA"/>
              </w:rPr>
              <w:t>4,199</w:t>
            </w:r>
          </w:p>
        </w:tc>
        <w:tc>
          <w:tcPr>
            <w:tcW w:w="238" w:type="dxa"/>
            <w:tcBorders/>
          </w:tcPr>
          <w:p>
            <w:pPr>
              <w:pStyle w:val="Normal"/>
              <w:spacing w:lineRule="auto" w:line="240" w:before="0" w:after="0"/>
              <w:rPr>
                <w:rFonts w:ascii="Arial" w:hAnsi="Arial" w:cs="Arial"/>
                <w:lang w:val="uk-UA"/>
              </w:rPr>
            </w:pPr>
            <w:r>
              <w:rPr>
                <w:rFonts w:cs="Arial" w:ascii="Arial" w:hAnsi="Arial"/>
                <w:lang w:val="uk-UA"/>
              </w:rPr>
            </w:r>
          </w:p>
        </w:tc>
      </w:tr>
      <w:tr>
        <w:trPr>
          <w:trHeight w:val="20" w:hRule="atLeast"/>
        </w:trPr>
        <w:tc>
          <w:tcPr>
            <w:tcW w:w="6065" w:type="dxa"/>
            <w:tcBorders/>
          </w:tcPr>
          <w:p>
            <w:pPr>
              <w:pStyle w:val="Normal"/>
              <w:spacing w:lineRule="auto" w:line="240" w:before="0" w:after="0"/>
              <w:ind w:left="-108" w:hanging="0"/>
              <w:rPr>
                <w:rFonts w:ascii="Arial" w:hAnsi="Arial" w:eastAsia="Garamond" w:cs="Arial"/>
                <w:lang w:val="uk-UA"/>
              </w:rPr>
            </w:pPr>
            <w:r>
              <w:rPr>
                <w:rFonts w:eastAsia="Garamond" w:cs="Arial" w:ascii="Arial" w:hAnsi="Arial"/>
                <w:lang w:val="uk-UA"/>
              </w:rPr>
              <w:t>Від 18 місяців</w:t>
            </w:r>
          </w:p>
        </w:tc>
        <w:tc>
          <w:tcPr>
            <w:tcW w:w="1531" w:type="dxa"/>
            <w:tcBorders>
              <w:bottom w:val="single" w:sz="4" w:space="0" w:color="000000"/>
            </w:tcBorders>
          </w:tcPr>
          <w:p>
            <w:pPr>
              <w:pStyle w:val="Normal"/>
              <w:spacing w:lineRule="auto" w:line="240" w:before="0" w:after="0"/>
              <w:jc w:val="right"/>
              <w:rPr>
                <w:rFonts w:ascii="Arial" w:hAnsi="Arial" w:eastAsia="Garamond" w:cs="Arial"/>
                <w:lang w:val="uk-UA"/>
              </w:rPr>
            </w:pPr>
            <w:r>
              <w:rPr>
                <w:rFonts w:eastAsia="Garamond" w:cs="Arial" w:ascii="Arial" w:hAnsi="Arial"/>
                <w:lang w:val="uk-UA"/>
              </w:rPr>
              <w:t>26,035</w:t>
            </w:r>
          </w:p>
        </w:tc>
        <w:tc>
          <w:tcPr>
            <w:tcW w:w="235" w:type="dxa"/>
            <w:tcBorders/>
          </w:tcPr>
          <w:p>
            <w:pPr>
              <w:pStyle w:val="Normal"/>
              <w:spacing w:lineRule="auto" w:line="240" w:before="0" w:after="0"/>
              <w:rPr>
                <w:rFonts w:ascii="Arial" w:hAnsi="Arial" w:cs="Arial"/>
                <w:lang w:val="uk-UA"/>
              </w:rPr>
            </w:pPr>
            <w:r>
              <w:rPr>
                <w:rFonts w:cs="Arial" w:ascii="Arial" w:hAnsi="Arial"/>
                <w:lang w:val="uk-UA"/>
              </w:rPr>
            </w:r>
          </w:p>
        </w:tc>
        <w:tc>
          <w:tcPr>
            <w:tcW w:w="1531" w:type="dxa"/>
            <w:tcBorders>
              <w:bottom w:val="single" w:sz="4" w:space="0" w:color="000000"/>
            </w:tcBorders>
          </w:tcPr>
          <w:p>
            <w:pPr>
              <w:pStyle w:val="Normal"/>
              <w:spacing w:lineRule="auto" w:line="240" w:before="0" w:after="0"/>
              <w:jc w:val="right"/>
              <w:rPr>
                <w:rFonts w:ascii="Arial" w:hAnsi="Arial" w:eastAsia="Garamond" w:cs="Arial"/>
                <w:lang w:val="uk-UA"/>
              </w:rPr>
            </w:pPr>
            <w:r>
              <w:rPr>
                <w:rFonts w:eastAsia="Garamond" w:cs="Arial" w:ascii="Arial" w:hAnsi="Arial"/>
                <w:lang w:val="uk-UA"/>
              </w:rPr>
              <w:t>19,595</w:t>
            </w:r>
          </w:p>
        </w:tc>
        <w:tc>
          <w:tcPr>
            <w:tcW w:w="238" w:type="dxa"/>
            <w:tcBorders/>
          </w:tcPr>
          <w:p>
            <w:pPr>
              <w:pStyle w:val="Normal"/>
              <w:spacing w:lineRule="auto" w:line="240" w:before="0" w:after="0"/>
              <w:rPr>
                <w:rFonts w:ascii="Arial" w:hAnsi="Arial" w:cs="Arial"/>
                <w:lang w:val="uk-UA"/>
              </w:rPr>
            </w:pPr>
            <w:r>
              <w:rPr>
                <w:rFonts w:cs="Arial" w:ascii="Arial" w:hAnsi="Arial"/>
                <w:lang w:val="uk-UA"/>
              </w:rPr>
            </w:r>
          </w:p>
        </w:tc>
      </w:tr>
      <w:tr>
        <w:trPr>
          <w:trHeight w:val="20" w:hRule="atLeast"/>
        </w:trPr>
        <w:tc>
          <w:tcPr>
            <w:tcW w:w="6065" w:type="dxa"/>
            <w:tcBorders/>
          </w:tcPr>
          <w:p>
            <w:pPr>
              <w:pStyle w:val="Normal"/>
              <w:spacing w:lineRule="auto" w:line="240" w:before="0" w:after="0"/>
              <w:ind w:left="-108" w:hanging="0"/>
              <w:rPr>
                <w:rFonts w:ascii="Arial" w:hAnsi="Arial" w:cs="Arial"/>
                <w:lang w:val="uk-UA"/>
              </w:rPr>
            </w:pPr>
            <w:r>
              <w:rPr>
                <w:rFonts w:cs="Arial" w:ascii="Arial" w:hAnsi="Arial"/>
                <w:lang w:val="uk-UA"/>
              </w:rPr>
            </w:r>
          </w:p>
        </w:tc>
        <w:tc>
          <w:tcPr>
            <w:tcW w:w="1531" w:type="dxa"/>
            <w:tcBorders>
              <w:top w:val="single" w:sz="4" w:space="0" w:color="000000"/>
            </w:tcBorders>
          </w:tcPr>
          <w:p>
            <w:pPr>
              <w:pStyle w:val="Normal"/>
              <w:spacing w:lineRule="auto" w:line="240" w:before="0" w:after="0"/>
              <w:jc w:val="right"/>
              <w:rPr>
                <w:rFonts w:ascii="Arial" w:hAnsi="Arial" w:eastAsia="Garamond" w:cs="Arial"/>
                <w:b/>
                <w:b/>
                <w:lang w:val="uk-UA"/>
              </w:rPr>
            </w:pPr>
            <w:r>
              <w:rPr>
                <w:rFonts w:eastAsia="Garamond" w:cs="Arial" w:ascii="Arial" w:hAnsi="Arial"/>
                <w:b/>
                <w:lang w:val="uk-UA"/>
              </w:rPr>
            </w:r>
          </w:p>
        </w:tc>
        <w:tc>
          <w:tcPr>
            <w:tcW w:w="235" w:type="dxa"/>
            <w:tcBorders/>
          </w:tcPr>
          <w:p>
            <w:pPr>
              <w:pStyle w:val="Normal"/>
              <w:spacing w:lineRule="auto" w:line="240" w:before="0" w:after="0"/>
              <w:rPr>
                <w:rFonts w:ascii="Arial" w:hAnsi="Arial" w:cs="Arial"/>
                <w:lang w:val="uk-UA"/>
              </w:rPr>
            </w:pPr>
            <w:r>
              <w:rPr>
                <w:rFonts w:cs="Arial" w:ascii="Arial" w:hAnsi="Arial"/>
                <w:lang w:val="uk-UA"/>
              </w:rPr>
            </w:r>
          </w:p>
        </w:tc>
        <w:tc>
          <w:tcPr>
            <w:tcW w:w="1531" w:type="dxa"/>
            <w:tcBorders>
              <w:top w:val="single" w:sz="4" w:space="0" w:color="000000"/>
            </w:tcBorders>
          </w:tcPr>
          <w:p>
            <w:pPr>
              <w:pStyle w:val="Normal"/>
              <w:spacing w:lineRule="auto" w:line="240" w:before="0" w:after="0"/>
              <w:jc w:val="right"/>
              <w:rPr>
                <w:rFonts w:ascii="Arial" w:hAnsi="Arial" w:eastAsia="Garamond" w:cs="Arial"/>
                <w:b/>
                <w:b/>
                <w:lang w:val="uk-UA"/>
              </w:rPr>
            </w:pPr>
            <w:r>
              <w:rPr>
                <w:rFonts w:eastAsia="Garamond" w:cs="Arial" w:ascii="Arial" w:hAnsi="Arial"/>
                <w:b/>
                <w:lang w:val="uk-UA"/>
              </w:rPr>
            </w:r>
          </w:p>
        </w:tc>
        <w:tc>
          <w:tcPr>
            <w:tcW w:w="238" w:type="dxa"/>
            <w:tcBorders/>
          </w:tcPr>
          <w:p>
            <w:pPr>
              <w:pStyle w:val="Normal"/>
              <w:spacing w:lineRule="auto" w:line="240" w:before="0" w:after="0"/>
              <w:rPr>
                <w:rFonts w:ascii="Arial" w:hAnsi="Arial" w:cs="Arial"/>
                <w:lang w:val="uk-UA"/>
              </w:rPr>
            </w:pPr>
            <w:r>
              <w:rPr>
                <w:rFonts w:cs="Arial" w:ascii="Arial" w:hAnsi="Arial"/>
                <w:lang w:val="uk-UA"/>
              </w:rPr>
            </w:r>
          </w:p>
        </w:tc>
      </w:tr>
      <w:tr>
        <w:trPr>
          <w:trHeight w:val="20" w:hRule="atLeast"/>
        </w:trPr>
        <w:tc>
          <w:tcPr>
            <w:tcW w:w="6065" w:type="dxa"/>
            <w:tcBorders/>
          </w:tcPr>
          <w:p>
            <w:pPr>
              <w:pStyle w:val="Normal"/>
              <w:spacing w:lineRule="auto" w:line="240" w:before="0" w:after="0"/>
              <w:ind w:left="-108" w:hanging="0"/>
              <w:rPr>
                <w:rFonts w:ascii="Arial" w:hAnsi="Arial" w:eastAsia="Garamond" w:cs="Arial"/>
                <w:lang w:val="uk-UA"/>
              </w:rPr>
            </w:pPr>
            <w:r>
              <w:rPr>
                <w:rFonts w:eastAsia="Garamond" w:cs="Arial" w:ascii="Arial" w:hAnsi="Arial"/>
                <w:lang w:val="uk-UA"/>
              </w:rPr>
              <w:t>За вирахуванням резерву під знецінення</w:t>
            </w:r>
          </w:p>
        </w:tc>
        <w:tc>
          <w:tcPr>
            <w:tcW w:w="1531" w:type="dxa"/>
            <w:tcBorders>
              <w:bottom w:val="single" w:sz="4" w:space="0" w:color="000000"/>
            </w:tcBorders>
          </w:tcPr>
          <w:p>
            <w:pPr>
              <w:pStyle w:val="Normal"/>
              <w:spacing w:lineRule="auto" w:line="240" w:before="0" w:after="0"/>
              <w:jc w:val="right"/>
              <w:rPr>
                <w:rFonts w:ascii="Arial" w:hAnsi="Arial" w:eastAsia="Garamond" w:cs="Arial"/>
                <w:b/>
                <w:b/>
                <w:lang w:val="uk-UA"/>
              </w:rPr>
            </w:pPr>
            <w:r>
              <w:rPr>
                <w:rFonts w:eastAsia="Garamond" w:cs="Arial" w:ascii="Arial" w:hAnsi="Arial"/>
                <w:b/>
                <w:lang w:val="uk-UA"/>
              </w:rPr>
              <w:t>(27,995)</w:t>
            </w:r>
          </w:p>
        </w:tc>
        <w:tc>
          <w:tcPr>
            <w:tcW w:w="235" w:type="dxa"/>
            <w:tcBorders/>
          </w:tcPr>
          <w:p>
            <w:pPr>
              <w:pStyle w:val="Normal"/>
              <w:spacing w:lineRule="auto" w:line="240" w:before="0" w:after="0"/>
              <w:rPr>
                <w:rFonts w:ascii="Arial" w:hAnsi="Arial" w:cs="Arial"/>
                <w:lang w:val="uk-UA"/>
              </w:rPr>
            </w:pPr>
            <w:r>
              <w:rPr>
                <w:rFonts w:cs="Arial" w:ascii="Arial" w:hAnsi="Arial"/>
                <w:lang w:val="uk-UA"/>
              </w:rPr>
            </w:r>
          </w:p>
        </w:tc>
        <w:tc>
          <w:tcPr>
            <w:tcW w:w="1531" w:type="dxa"/>
            <w:tcBorders>
              <w:bottom w:val="single" w:sz="4" w:space="0" w:color="000000"/>
            </w:tcBorders>
          </w:tcPr>
          <w:p>
            <w:pPr>
              <w:pStyle w:val="Normal"/>
              <w:spacing w:lineRule="auto" w:line="240" w:before="0" w:after="0"/>
              <w:jc w:val="right"/>
              <w:rPr>
                <w:rFonts w:ascii="Arial" w:hAnsi="Arial" w:eastAsia="Garamond" w:cs="Arial"/>
                <w:b/>
                <w:b/>
                <w:lang w:val="uk-UA"/>
              </w:rPr>
            </w:pPr>
            <w:r>
              <w:rPr>
                <w:rFonts w:eastAsia="Garamond" w:cs="Arial" w:ascii="Arial" w:hAnsi="Arial"/>
                <w:b/>
                <w:lang w:val="uk-UA"/>
              </w:rPr>
              <w:t>(20,713)</w:t>
            </w:r>
          </w:p>
        </w:tc>
        <w:tc>
          <w:tcPr>
            <w:tcW w:w="238" w:type="dxa"/>
            <w:tcBorders/>
          </w:tcPr>
          <w:p>
            <w:pPr>
              <w:pStyle w:val="Normal"/>
              <w:spacing w:lineRule="auto" w:line="240" w:before="0" w:after="0"/>
              <w:rPr>
                <w:rFonts w:ascii="Arial" w:hAnsi="Arial" w:cs="Arial"/>
                <w:lang w:val="uk-UA"/>
              </w:rPr>
            </w:pPr>
            <w:r>
              <w:rPr>
                <w:rFonts w:cs="Arial" w:ascii="Arial" w:hAnsi="Arial"/>
                <w:lang w:val="uk-UA"/>
              </w:rPr>
            </w:r>
          </w:p>
        </w:tc>
      </w:tr>
      <w:tr>
        <w:trPr>
          <w:trHeight w:val="20" w:hRule="atLeast"/>
        </w:trPr>
        <w:tc>
          <w:tcPr>
            <w:tcW w:w="6065" w:type="dxa"/>
            <w:tcBorders/>
          </w:tcPr>
          <w:p>
            <w:pPr>
              <w:pStyle w:val="Normal"/>
              <w:spacing w:lineRule="auto" w:line="240" w:before="0" w:after="0"/>
              <w:rPr>
                <w:rFonts w:ascii="Arial" w:hAnsi="Arial" w:cs="Arial"/>
                <w:lang w:val="uk-UA"/>
              </w:rPr>
            </w:pPr>
            <w:r>
              <w:rPr>
                <w:rFonts w:cs="Arial" w:ascii="Arial" w:hAnsi="Arial"/>
                <w:lang w:val="uk-UA"/>
              </w:rPr>
            </w:r>
          </w:p>
        </w:tc>
        <w:tc>
          <w:tcPr>
            <w:tcW w:w="1531" w:type="dxa"/>
            <w:tcBorders>
              <w:top w:val="single" w:sz="4" w:space="0" w:color="000000"/>
              <w:bottom w:val="double" w:sz="4" w:space="0" w:color="000000"/>
            </w:tcBorders>
          </w:tcPr>
          <w:p>
            <w:pPr>
              <w:pStyle w:val="Normal"/>
              <w:spacing w:lineRule="auto" w:line="240" w:before="0" w:after="0"/>
              <w:jc w:val="right"/>
              <w:rPr>
                <w:rFonts w:ascii="Arial" w:hAnsi="Arial" w:eastAsia="Garamond" w:cs="Arial"/>
                <w:b/>
                <w:b/>
                <w:lang w:val="uk-UA"/>
              </w:rPr>
            </w:pPr>
            <w:r>
              <w:rPr>
                <w:rFonts w:eastAsia="Garamond" w:cs="Arial" w:ascii="Arial" w:hAnsi="Arial"/>
                <w:b/>
                <w:lang w:val="uk-UA"/>
              </w:rPr>
              <w:t>237,989</w:t>
            </w:r>
          </w:p>
        </w:tc>
        <w:tc>
          <w:tcPr>
            <w:tcW w:w="235" w:type="dxa"/>
            <w:tcBorders/>
          </w:tcPr>
          <w:p>
            <w:pPr>
              <w:pStyle w:val="Normal"/>
              <w:spacing w:lineRule="auto" w:line="240" w:before="0" w:after="0"/>
              <w:rPr>
                <w:rFonts w:ascii="Arial" w:hAnsi="Arial" w:cs="Arial"/>
                <w:lang w:val="uk-UA"/>
              </w:rPr>
            </w:pPr>
            <w:r>
              <w:rPr>
                <w:rFonts w:cs="Arial" w:ascii="Arial" w:hAnsi="Arial"/>
                <w:lang w:val="uk-UA"/>
              </w:rPr>
            </w:r>
          </w:p>
        </w:tc>
        <w:tc>
          <w:tcPr>
            <w:tcW w:w="1531" w:type="dxa"/>
            <w:tcBorders>
              <w:top w:val="single" w:sz="4" w:space="0" w:color="000000"/>
              <w:bottom w:val="double" w:sz="4" w:space="0" w:color="000000"/>
            </w:tcBorders>
          </w:tcPr>
          <w:p>
            <w:pPr>
              <w:pStyle w:val="Normal"/>
              <w:spacing w:lineRule="auto" w:line="240" w:before="0" w:after="0"/>
              <w:jc w:val="right"/>
              <w:rPr>
                <w:rFonts w:ascii="Arial" w:hAnsi="Arial" w:eastAsia="Garamond" w:cs="Arial"/>
                <w:b/>
                <w:b/>
                <w:lang w:val="uk-UA"/>
              </w:rPr>
            </w:pPr>
            <w:r>
              <w:rPr>
                <w:rFonts w:eastAsia="Garamond" w:cs="Arial" w:ascii="Arial" w:hAnsi="Arial"/>
                <w:b/>
                <w:lang w:val="uk-UA"/>
              </w:rPr>
              <w:t>155,633</w:t>
            </w:r>
          </w:p>
        </w:tc>
        <w:tc>
          <w:tcPr>
            <w:tcW w:w="238" w:type="dxa"/>
            <w:tcBorders/>
          </w:tcPr>
          <w:p>
            <w:pPr>
              <w:pStyle w:val="Normal"/>
              <w:spacing w:lineRule="auto" w:line="240" w:before="0" w:after="0"/>
              <w:rPr>
                <w:rFonts w:ascii="Arial" w:hAnsi="Arial" w:cs="Arial"/>
                <w:lang w:val="uk-UA"/>
              </w:rPr>
            </w:pPr>
            <w:r>
              <w:rPr>
                <w:rFonts w:cs="Arial" w:ascii="Arial" w:hAnsi="Arial"/>
                <w:lang w:val="uk-UA"/>
              </w:rPr>
            </w:r>
          </w:p>
        </w:tc>
      </w:tr>
    </w:tbl>
    <w:p>
      <w:pPr>
        <w:pStyle w:val="Normal"/>
        <w:spacing w:lineRule="auto" w:line="240" w:before="0" w:after="0"/>
        <w:rPr>
          <w:rFonts w:ascii="Arial" w:hAnsi="Arial" w:cs="Arial"/>
          <w:sz w:val="10"/>
          <w:szCs w:val="10"/>
          <w:lang w:val="uk-UA"/>
        </w:rPr>
      </w:pPr>
      <w:r>
        <w:rPr>
          <w:rFonts w:cs="Arial" w:ascii="Arial" w:hAnsi="Arial"/>
          <w:sz w:val="10"/>
          <w:szCs w:val="10"/>
          <w:lang w:val="uk-UA"/>
        </w:rPr>
      </w:r>
    </w:p>
    <w:p>
      <w:pPr>
        <w:pStyle w:val="Normal"/>
        <w:spacing w:lineRule="auto" w:line="240" w:before="0" w:after="0"/>
        <w:jc w:val="both"/>
        <w:rPr>
          <w:rFonts w:ascii="Arial" w:hAnsi="Arial" w:eastAsia="Garamond" w:cs="Arial"/>
          <w:sz w:val="16"/>
          <w:szCs w:val="16"/>
          <w:lang w:val="uk-UA"/>
        </w:rPr>
      </w:pPr>
      <w:r>
        <w:rPr>
          <w:rFonts w:eastAsia="Garamond" w:cs="Arial" w:ascii="Arial" w:hAnsi="Arial"/>
          <w:sz w:val="24"/>
          <w:szCs w:val="24"/>
          <w:lang w:val="uk-UA"/>
        </w:rPr>
        <w:t>Протягом періоду зміни в резерві під знецінення дебіторської заборгованості Компанії були представлені наступним чином:</w:t>
      </w:r>
    </w:p>
    <w:tbl>
      <w:tblPr>
        <w:tblW w:w="9364" w:type="dxa"/>
        <w:jc w:val="left"/>
        <w:tblInd w:w="108" w:type="dxa"/>
        <w:tblCellMar>
          <w:top w:w="0" w:type="dxa"/>
          <w:left w:w="108" w:type="dxa"/>
          <w:bottom w:w="0" w:type="dxa"/>
          <w:right w:w="108" w:type="dxa"/>
        </w:tblCellMar>
        <w:tblLook w:firstRow="1" w:noVBand="0" w:lastRow="1" w:firstColumn="1" w:lastColumn="1" w:noHBand="0" w:val="01e0"/>
      </w:tblPr>
      <w:tblGrid>
        <w:gridCol w:w="6065"/>
        <w:gridCol w:w="1532"/>
        <w:gridCol w:w="235"/>
        <w:gridCol w:w="1531"/>
      </w:tblGrid>
      <w:tr>
        <w:trPr>
          <w:trHeight w:val="20" w:hRule="atLeast"/>
        </w:trPr>
        <w:tc>
          <w:tcPr>
            <w:tcW w:w="6065" w:type="dxa"/>
            <w:tcBorders/>
          </w:tcPr>
          <w:p>
            <w:pPr>
              <w:pStyle w:val="Normal"/>
              <w:spacing w:lineRule="auto" w:line="240" w:before="0" w:after="0"/>
              <w:rPr>
                <w:rFonts w:ascii="Arial" w:hAnsi="Arial" w:cs="Arial"/>
                <w:lang w:val="uk-UA"/>
              </w:rPr>
            </w:pPr>
            <w:r>
              <w:rPr>
                <w:rFonts w:cs="Arial" w:ascii="Arial" w:hAnsi="Arial"/>
                <w:lang w:val="uk-UA"/>
              </w:rPr>
            </w:r>
          </w:p>
        </w:tc>
        <w:tc>
          <w:tcPr>
            <w:tcW w:w="1532" w:type="dxa"/>
            <w:tcBorders>
              <w:bottom w:val="single" w:sz="4" w:space="0" w:color="000000"/>
            </w:tcBorders>
            <w:vAlign w:val="center"/>
          </w:tcPr>
          <w:p>
            <w:pPr>
              <w:pStyle w:val="Normal"/>
              <w:spacing w:lineRule="auto" w:line="240" w:before="0" w:after="0"/>
              <w:ind w:left="-108" w:right="-108" w:hanging="0"/>
              <w:jc w:val="center"/>
              <w:rPr>
                <w:rFonts w:ascii="Arial" w:hAnsi="Arial" w:eastAsia="Garamond" w:cs="Arial"/>
                <w:lang w:val="uk-UA"/>
              </w:rPr>
            </w:pPr>
            <w:r>
              <w:rPr>
                <w:rFonts w:eastAsia="Garamond" w:cs="Arial" w:ascii="Arial" w:hAnsi="Arial"/>
                <w:b/>
                <w:bCs/>
                <w:lang w:val="uk-UA"/>
              </w:rPr>
              <w:t>31 грудня 2019</w:t>
            </w:r>
          </w:p>
        </w:tc>
        <w:tc>
          <w:tcPr>
            <w:tcW w:w="235" w:type="dxa"/>
            <w:tcBorders/>
            <w:vAlign w:val="center"/>
          </w:tcPr>
          <w:p>
            <w:pPr>
              <w:pStyle w:val="Normal"/>
              <w:spacing w:lineRule="auto" w:line="240" w:before="0" w:after="0"/>
              <w:ind w:left="-108" w:right="-108" w:hanging="0"/>
              <w:jc w:val="center"/>
              <w:rPr>
                <w:rFonts w:ascii="Arial" w:hAnsi="Arial" w:cs="Arial"/>
                <w:lang w:val="uk-UA"/>
              </w:rPr>
            </w:pPr>
            <w:r>
              <w:rPr>
                <w:rFonts w:cs="Arial" w:ascii="Arial" w:hAnsi="Arial"/>
                <w:lang w:val="uk-UA"/>
              </w:rPr>
            </w:r>
          </w:p>
        </w:tc>
        <w:tc>
          <w:tcPr>
            <w:tcW w:w="1531" w:type="dxa"/>
            <w:tcBorders>
              <w:bottom w:val="single" w:sz="4" w:space="0" w:color="000000"/>
            </w:tcBorders>
            <w:vAlign w:val="center"/>
          </w:tcPr>
          <w:p>
            <w:pPr>
              <w:pStyle w:val="Normal"/>
              <w:spacing w:lineRule="auto" w:line="240" w:before="0" w:after="0"/>
              <w:ind w:left="-108" w:right="-108" w:hanging="0"/>
              <w:jc w:val="center"/>
              <w:rPr>
                <w:rFonts w:ascii="Arial" w:hAnsi="Arial" w:eastAsia="Garamond" w:cs="Arial"/>
                <w:lang w:val="uk-UA"/>
              </w:rPr>
            </w:pPr>
            <w:r>
              <w:rPr>
                <w:rFonts w:eastAsia="Garamond" w:cs="Arial" w:ascii="Arial" w:hAnsi="Arial"/>
                <w:b/>
                <w:bCs/>
                <w:lang w:val="uk-UA"/>
              </w:rPr>
              <w:t>31 грудня 2018</w:t>
            </w:r>
          </w:p>
        </w:tc>
      </w:tr>
      <w:tr>
        <w:trPr>
          <w:trHeight w:val="20" w:hRule="atLeast"/>
        </w:trPr>
        <w:tc>
          <w:tcPr>
            <w:tcW w:w="6065" w:type="dxa"/>
            <w:tcBorders/>
          </w:tcPr>
          <w:p>
            <w:pPr>
              <w:pStyle w:val="Normal"/>
              <w:spacing w:lineRule="auto" w:line="240" w:before="0" w:after="0"/>
              <w:ind w:left="-108" w:hanging="0"/>
              <w:rPr>
                <w:rFonts w:ascii="Arial" w:hAnsi="Arial" w:eastAsia="Garamond" w:cs="Arial"/>
                <w:lang w:val="uk-UA"/>
              </w:rPr>
            </w:pPr>
            <w:r>
              <w:rPr>
                <w:rFonts w:eastAsia="Garamond" w:cs="Arial" w:ascii="Arial" w:hAnsi="Arial"/>
                <w:b/>
                <w:bCs/>
                <w:lang w:val="uk-UA"/>
              </w:rPr>
              <w:t>На 1 січня</w:t>
            </w:r>
          </w:p>
        </w:tc>
        <w:tc>
          <w:tcPr>
            <w:tcW w:w="1532" w:type="dxa"/>
            <w:tcBorders>
              <w:top w:val="single" w:sz="4" w:space="0" w:color="000000"/>
            </w:tcBorders>
            <w:vAlign w:val="center"/>
          </w:tcPr>
          <w:p>
            <w:pPr>
              <w:pStyle w:val="Normal"/>
              <w:spacing w:lineRule="auto" w:line="240" w:before="0" w:after="0"/>
              <w:jc w:val="right"/>
              <w:rPr>
                <w:rFonts w:ascii="Arial" w:hAnsi="Arial" w:eastAsia="Garamond" w:cs="Arial"/>
                <w:b/>
                <w:b/>
                <w:lang w:val="uk-UA"/>
              </w:rPr>
            </w:pPr>
            <w:r>
              <w:rPr>
                <w:rFonts w:eastAsia="Garamond" w:cs="Arial" w:ascii="Arial" w:hAnsi="Arial"/>
                <w:b/>
                <w:lang w:val="uk-UA"/>
              </w:rPr>
              <w:t>20,713</w:t>
            </w:r>
          </w:p>
        </w:tc>
        <w:tc>
          <w:tcPr>
            <w:tcW w:w="235" w:type="dxa"/>
            <w:tcBorders/>
            <w:vAlign w:val="center"/>
          </w:tcPr>
          <w:p>
            <w:pPr>
              <w:pStyle w:val="Normal"/>
              <w:spacing w:lineRule="auto" w:line="240" w:before="0" w:after="0"/>
              <w:jc w:val="right"/>
              <w:rPr>
                <w:rFonts w:ascii="Arial" w:hAnsi="Arial" w:cs="Arial"/>
                <w:lang w:val="uk-UA"/>
              </w:rPr>
            </w:pPr>
            <w:r>
              <w:rPr>
                <w:rFonts w:cs="Arial" w:ascii="Arial" w:hAnsi="Arial"/>
                <w:lang w:val="uk-UA"/>
              </w:rPr>
            </w:r>
          </w:p>
        </w:tc>
        <w:tc>
          <w:tcPr>
            <w:tcW w:w="1531" w:type="dxa"/>
            <w:tcBorders>
              <w:top w:val="single" w:sz="4" w:space="0" w:color="000000"/>
            </w:tcBorders>
            <w:vAlign w:val="center"/>
          </w:tcPr>
          <w:p>
            <w:pPr>
              <w:pStyle w:val="Normal"/>
              <w:spacing w:lineRule="auto" w:line="240" w:before="0" w:after="0"/>
              <w:jc w:val="right"/>
              <w:rPr>
                <w:rFonts w:ascii="Arial" w:hAnsi="Arial" w:eastAsia="Garamond" w:cs="Arial"/>
                <w:b/>
                <w:b/>
                <w:lang w:val="uk-UA"/>
              </w:rPr>
            </w:pPr>
            <w:r>
              <w:rPr>
                <w:rFonts w:eastAsia="Garamond" w:cs="Arial" w:ascii="Arial" w:hAnsi="Arial"/>
                <w:b/>
                <w:lang w:val="uk-UA"/>
              </w:rPr>
              <w:t>18,457</w:t>
            </w:r>
          </w:p>
        </w:tc>
      </w:tr>
      <w:tr>
        <w:trPr>
          <w:trHeight w:val="20" w:hRule="atLeast"/>
        </w:trPr>
        <w:tc>
          <w:tcPr>
            <w:tcW w:w="6065" w:type="dxa"/>
            <w:tcBorders/>
          </w:tcPr>
          <w:p>
            <w:pPr>
              <w:pStyle w:val="Normal"/>
              <w:spacing w:lineRule="auto" w:line="240" w:before="0" w:after="0"/>
              <w:ind w:left="-108" w:hanging="0"/>
              <w:rPr>
                <w:rFonts w:ascii="Arial" w:hAnsi="Arial" w:eastAsia="Garamond" w:cs="Arial"/>
                <w:lang w:val="uk-UA"/>
              </w:rPr>
            </w:pPr>
            <w:r>
              <w:rPr>
                <w:rFonts w:eastAsia="Garamond" w:cs="Arial" w:ascii="Arial" w:hAnsi="Arial"/>
                <w:lang w:val="uk-UA"/>
              </w:rPr>
              <w:t>Нараховано за рік</w:t>
            </w:r>
          </w:p>
        </w:tc>
        <w:tc>
          <w:tcPr>
            <w:tcW w:w="1532" w:type="dxa"/>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7,538</w:t>
            </w:r>
          </w:p>
        </w:tc>
        <w:tc>
          <w:tcPr>
            <w:tcW w:w="235" w:type="dxa"/>
            <w:tcBorders/>
            <w:vAlign w:val="center"/>
          </w:tcPr>
          <w:p>
            <w:pPr>
              <w:pStyle w:val="Normal"/>
              <w:spacing w:lineRule="auto" w:line="240" w:before="0" w:after="0"/>
              <w:jc w:val="right"/>
              <w:rPr>
                <w:rFonts w:ascii="Arial" w:hAnsi="Arial" w:cs="Arial"/>
                <w:lang w:val="uk-UA"/>
              </w:rPr>
            </w:pPr>
            <w:r>
              <w:rPr>
                <w:rFonts w:cs="Arial" w:ascii="Arial" w:hAnsi="Arial"/>
                <w:lang w:val="uk-UA"/>
              </w:rPr>
            </w:r>
          </w:p>
        </w:tc>
        <w:tc>
          <w:tcPr>
            <w:tcW w:w="1531" w:type="dxa"/>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2,276</w:t>
            </w:r>
          </w:p>
        </w:tc>
      </w:tr>
      <w:tr>
        <w:trPr>
          <w:trHeight w:val="20" w:hRule="atLeast"/>
        </w:trPr>
        <w:tc>
          <w:tcPr>
            <w:tcW w:w="6065" w:type="dxa"/>
            <w:tcBorders/>
          </w:tcPr>
          <w:p>
            <w:pPr>
              <w:pStyle w:val="Normal"/>
              <w:spacing w:lineRule="auto" w:line="240" w:before="0" w:after="0"/>
              <w:ind w:left="-108" w:hanging="0"/>
              <w:rPr>
                <w:rFonts w:ascii="Arial" w:hAnsi="Arial" w:eastAsia="Garamond" w:cs="Arial"/>
                <w:lang w:val="uk-UA"/>
              </w:rPr>
            </w:pPr>
            <w:r>
              <w:rPr>
                <w:rFonts w:eastAsia="Garamond" w:cs="Arial" w:ascii="Arial" w:hAnsi="Arial"/>
                <w:lang w:val="uk-UA"/>
              </w:rPr>
              <w:t>Використано за рік</w:t>
            </w:r>
          </w:p>
        </w:tc>
        <w:tc>
          <w:tcPr>
            <w:tcW w:w="1532" w:type="dxa"/>
            <w:tcBorders>
              <w:bottom w:val="single" w:sz="4" w:space="0" w:color="000000"/>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(256)</w:t>
            </w:r>
          </w:p>
        </w:tc>
        <w:tc>
          <w:tcPr>
            <w:tcW w:w="235" w:type="dxa"/>
            <w:tcBorders/>
            <w:vAlign w:val="center"/>
          </w:tcPr>
          <w:p>
            <w:pPr>
              <w:pStyle w:val="Normal"/>
              <w:spacing w:lineRule="auto" w:line="240" w:before="0" w:after="0"/>
              <w:jc w:val="right"/>
              <w:rPr>
                <w:rFonts w:ascii="Arial" w:hAnsi="Arial" w:cs="Arial"/>
                <w:lang w:val="uk-UA"/>
              </w:rPr>
            </w:pPr>
            <w:r>
              <w:rPr>
                <w:rFonts w:cs="Arial" w:ascii="Arial" w:hAnsi="Arial"/>
                <w:lang w:val="uk-UA"/>
              </w:rPr>
            </w:r>
          </w:p>
        </w:tc>
        <w:tc>
          <w:tcPr>
            <w:tcW w:w="1531" w:type="dxa"/>
            <w:tcBorders>
              <w:bottom w:val="single" w:sz="4" w:space="0" w:color="000000"/>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(20)</w:t>
            </w:r>
          </w:p>
        </w:tc>
      </w:tr>
      <w:tr>
        <w:trPr>
          <w:trHeight w:val="20" w:hRule="atLeast"/>
        </w:trPr>
        <w:tc>
          <w:tcPr>
            <w:tcW w:w="6065" w:type="dxa"/>
            <w:tcBorders/>
          </w:tcPr>
          <w:p>
            <w:pPr>
              <w:pStyle w:val="Normal"/>
              <w:spacing w:lineRule="auto" w:line="240" w:before="0" w:after="0"/>
              <w:ind w:left="-108" w:hanging="0"/>
              <w:rPr>
                <w:rFonts w:ascii="Arial" w:hAnsi="Arial" w:eastAsia="Garamond" w:cs="Arial"/>
                <w:lang w:val="uk-UA"/>
              </w:rPr>
            </w:pPr>
            <w:r>
              <w:rPr>
                <w:rFonts w:eastAsia="Garamond" w:cs="Arial" w:ascii="Arial" w:hAnsi="Arial"/>
                <w:b/>
                <w:bCs/>
                <w:lang w:val="uk-UA"/>
              </w:rPr>
              <w:t>На 31 грудня</w:t>
            </w:r>
          </w:p>
        </w:tc>
        <w:tc>
          <w:tcPr>
            <w:tcW w:w="1532" w:type="dxa"/>
            <w:tcBorders>
              <w:top w:val="single" w:sz="4" w:space="0" w:color="000000"/>
              <w:bottom w:val="single" w:sz="4" w:space="0" w:color="000000"/>
            </w:tcBorders>
            <w:vAlign w:val="center"/>
          </w:tcPr>
          <w:p>
            <w:pPr>
              <w:pStyle w:val="Normal"/>
              <w:spacing w:lineRule="auto" w:line="240" w:before="0" w:after="0"/>
              <w:jc w:val="right"/>
              <w:rPr>
                <w:rFonts w:ascii="Arial" w:hAnsi="Arial" w:eastAsia="Garamond" w:cs="Arial"/>
                <w:b/>
                <w:b/>
                <w:lang w:val="uk-UA"/>
              </w:rPr>
            </w:pPr>
            <w:r>
              <w:rPr>
                <w:rFonts w:eastAsia="Garamond" w:cs="Arial" w:ascii="Arial" w:hAnsi="Arial"/>
                <w:b/>
                <w:lang w:val="uk-UA"/>
              </w:rPr>
              <w:t>27,995</w:t>
            </w:r>
          </w:p>
        </w:tc>
        <w:tc>
          <w:tcPr>
            <w:tcW w:w="235" w:type="dxa"/>
            <w:tcBorders/>
            <w:vAlign w:val="center"/>
          </w:tcPr>
          <w:p>
            <w:pPr>
              <w:pStyle w:val="Normal"/>
              <w:spacing w:lineRule="auto" w:line="240" w:before="0" w:after="0"/>
              <w:jc w:val="right"/>
              <w:rPr>
                <w:rFonts w:ascii="Arial" w:hAnsi="Arial" w:cs="Arial"/>
                <w:lang w:val="uk-UA"/>
              </w:rPr>
            </w:pPr>
            <w:r>
              <w:rPr>
                <w:rFonts w:cs="Arial" w:ascii="Arial" w:hAnsi="Arial"/>
                <w:lang w:val="uk-UA"/>
              </w:rPr>
            </w:r>
          </w:p>
        </w:tc>
        <w:tc>
          <w:tcPr>
            <w:tcW w:w="1531" w:type="dxa"/>
            <w:tcBorders>
              <w:top w:val="single" w:sz="4" w:space="0" w:color="000000"/>
              <w:bottom w:val="single" w:sz="4" w:space="0" w:color="000000"/>
            </w:tcBorders>
            <w:vAlign w:val="center"/>
          </w:tcPr>
          <w:p>
            <w:pPr>
              <w:pStyle w:val="Normal"/>
              <w:spacing w:lineRule="auto" w:line="240" w:before="0" w:after="0"/>
              <w:jc w:val="right"/>
              <w:rPr>
                <w:rFonts w:ascii="Arial" w:hAnsi="Arial" w:eastAsia="Garamond" w:cs="Arial"/>
                <w:b/>
                <w:b/>
                <w:lang w:val="uk-UA"/>
              </w:rPr>
            </w:pPr>
            <w:r>
              <w:rPr>
                <w:rFonts w:eastAsia="Garamond" w:cs="Arial" w:ascii="Arial" w:hAnsi="Arial"/>
                <w:b/>
                <w:lang w:val="uk-UA"/>
              </w:rPr>
              <w:t>20,713</w:t>
            </w:r>
          </w:p>
        </w:tc>
      </w:tr>
    </w:tbl>
    <w:p>
      <w:pPr>
        <w:pStyle w:val="Normal"/>
        <w:spacing w:lineRule="auto" w:line="240" w:before="0" w:after="0"/>
        <w:jc w:val="both"/>
        <w:rPr>
          <w:rFonts w:ascii="Arial" w:hAnsi="Arial" w:eastAsia="Garamond" w:cs="Arial"/>
          <w:b/>
          <w:b/>
          <w:bCs/>
          <w:sz w:val="10"/>
          <w:szCs w:val="10"/>
          <w:lang w:val="uk-UA"/>
        </w:rPr>
      </w:pPr>
      <w:r>
        <w:rPr>
          <w:rFonts w:eastAsia="Garamond" w:cs="Arial" w:ascii="Arial" w:hAnsi="Arial"/>
          <w:b/>
          <w:bCs/>
          <w:sz w:val="10"/>
          <w:szCs w:val="10"/>
          <w:lang w:val="uk-UA"/>
        </w:rPr>
      </w:r>
    </w:p>
    <w:p>
      <w:pPr>
        <w:pStyle w:val="Normal"/>
        <w:spacing w:lineRule="auto" w:line="240" w:before="0" w:after="0"/>
        <w:jc w:val="both"/>
        <w:rPr>
          <w:rFonts w:ascii="Arial" w:hAnsi="Arial" w:eastAsia="Garamond" w:cs="Arial"/>
          <w:sz w:val="24"/>
          <w:szCs w:val="24"/>
          <w:lang w:val="uk-UA"/>
        </w:rPr>
      </w:pPr>
      <w:r>
        <w:rPr>
          <w:rFonts w:eastAsia="Garamond" w:cs="Arial" w:ascii="Arial" w:hAnsi="Arial"/>
          <w:b/>
          <w:bCs/>
          <w:sz w:val="24"/>
          <w:szCs w:val="24"/>
          <w:lang w:val="uk-UA"/>
        </w:rPr>
        <w:t>Ринковий ризик</w:t>
      </w:r>
    </w:p>
    <w:p>
      <w:pPr>
        <w:pStyle w:val="Normal"/>
        <w:spacing w:lineRule="auto" w:line="240" w:before="0" w:after="0"/>
        <w:rPr>
          <w:rFonts w:ascii="Arial" w:hAnsi="Arial" w:cs="Arial"/>
          <w:sz w:val="10"/>
          <w:szCs w:val="10"/>
          <w:lang w:val="uk-UA"/>
        </w:rPr>
      </w:pPr>
      <w:r>
        <w:rPr>
          <w:rFonts w:cs="Arial" w:ascii="Arial" w:hAnsi="Arial"/>
          <w:sz w:val="10"/>
          <w:szCs w:val="10"/>
          <w:lang w:val="uk-UA"/>
        </w:rPr>
      </w:r>
    </w:p>
    <w:p>
      <w:pPr>
        <w:pStyle w:val="Normal"/>
        <w:spacing w:lineRule="auto" w:line="240" w:before="0" w:after="0"/>
        <w:jc w:val="both"/>
        <w:rPr>
          <w:rFonts w:ascii="Arial" w:hAnsi="Arial" w:eastAsia="Garamond" w:cs="Arial"/>
          <w:sz w:val="24"/>
          <w:szCs w:val="24"/>
          <w:lang w:val="uk-UA"/>
        </w:rPr>
      </w:pPr>
      <w:r>
        <w:rPr>
          <w:rFonts w:eastAsia="Garamond" w:cs="Arial" w:ascii="Arial" w:hAnsi="Arial"/>
          <w:sz w:val="24"/>
          <w:szCs w:val="24"/>
          <w:lang w:val="uk-UA"/>
        </w:rPr>
        <w:t>Компанія схильна до впливу ринкового ризику. Ринковий ризик пов’язаний з відкритими позиціями (а) в іноземних валютах, (б) процентних активів та зобов’язань та (в) продукції підприємства, які схильні до ризику загальних і специфічних змін на ринку. Керівництво встановлює ліміти щодо прийнятного рівня ризику, які контролюються щоденно. Однак використання цього підходу не дозволяє запобігти збитків, які перевищують встановлені ліміти, в разі більш істотних змін на ринку.</w:t>
      </w:r>
    </w:p>
    <w:p>
      <w:pPr>
        <w:pStyle w:val="Normal"/>
        <w:spacing w:lineRule="auto" w:line="240" w:before="0" w:after="0"/>
        <w:rPr>
          <w:rFonts w:ascii="Arial" w:hAnsi="Arial" w:cs="Arial"/>
          <w:sz w:val="6"/>
          <w:szCs w:val="6"/>
          <w:lang w:val="uk-UA"/>
        </w:rPr>
      </w:pPr>
      <w:r>
        <w:rPr>
          <w:rFonts w:cs="Arial" w:ascii="Arial" w:hAnsi="Arial"/>
          <w:sz w:val="6"/>
          <w:szCs w:val="6"/>
          <w:lang w:val="uk-UA"/>
        </w:rPr>
      </w:r>
    </w:p>
    <w:p>
      <w:pPr>
        <w:pStyle w:val="Normal"/>
        <w:spacing w:lineRule="auto" w:line="240" w:before="0" w:after="0"/>
        <w:jc w:val="both"/>
        <w:rPr>
          <w:rFonts w:ascii="Arial" w:hAnsi="Arial" w:eastAsia="Garamond" w:cs="Arial"/>
          <w:sz w:val="24"/>
          <w:szCs w:val="24"/>
          <w:lang w:val="uk-UA"/>
        </w:rPr>
      </w:pPr>
      <w:r>
        <w:rPr>
          <w:rFonts w:eastAsia="Garamond" w:cs="Arial" w:ascii="Arial" w:hAnsi="Arial"/>
          <w:sz w:val="24"/>
          <w:szCs w:val="24"/>
          <w:lang w:val="uk-UA"/>
        </w:rPr>
        <w:t>Чутливість до ринкових ризиків, що представлена нижче, заснована на зміні фактору, коли всі інші фактори залишаються незмінними. На практиці це здебільшого не відбувається і зміни деяких факторів можуть бути пов’язані, наприклад, зі зміною процентної ставки та зміною курсів валют.</w:t>
      </w:r>
    </w:p>
    <w:p>
      <w:pPr>
        <w:pStyle w:val="Normal"/>
        <w:spacing w:lineRule="auto" w:line="240" w:before="0" w:after="0"/>
        <w:rPr>
          <w:rFonts w:ascii="Arial" w:hAnsi="Arial" w:cs="Arial"/>
          <w:sz w:val="10"/>
          <w:szCs w:val="10"/>
          <w:lang w:val="uk-UA"/>
        </w:rPr>
      </w:pPr>
      <w:r>
        <w:rPr>
          <w:rFonts w:cs="Arial" w:ascii="Arial" w:hAnsi="Arial"/>
          <w:sz w:val="10"/>
          <w:szCs w:val="10"/>
          <w:lang w:val="uk-UA"/>
        </w:rPr>
      </w:r>
    </w:p>
    <w:p>
      <w:pPr>
        <w:pStyle w:val="Normal"/>
        <w:spacing w:lineRule="auto" w:line="240" w:before="0" w:after="0"/>
        <w:jc w:val="both"/>
        <w:rPr>
          <w:rFonts w:ascii="Arial" w:hAnsi="Arial" w:eastAsia="Garamond" w:cs="Arial"/>
          <w:b/>
          <w:b/>
          <w:sz w:val="24"/>
          <w:szCs w:val="24"/>
          <w:lang w:val="uk-UA"/>
        </w:rPr>
      </w:pPr>
      <w:r>
        <w:rPr>
          <w:rFonts w:eastAsia="Garamond" w:cs="Arial" w:ascii="Arial" w:hAnsi="Arial"/>
          <w:b/>
          <w:sz w:val="24"/>
          <w:szCs w:val="24"/>
          <w:lang w:val="uk-UA"/>
        </w:rPr>
        <w:t>Ризик зміни процентних ставок</w:t>
      </w:r>
    </w:p>
    <w:p>
      <w:pPr>
        <w:pStyle w:val="Normal"/>
        <w:spacing w:lineRule="auto" w:line="240" w:before="0" w:after="0"/>
        <w:rPr>
          <w:rFonts w:ascii="Arial" w:hAnsi="Arial" w:cs="Arial"/>
          <w:sz w:val="10"/>
          <w:szCs w:val="10"/>
          <w:lang w:val="uk-UA"/>
        </w:rPr>
      </w:pPr>
      <w:r>
        <w:rPr>
          <w:rFonts w:cs="Arial" w:ascii="Arial" w:hAnsi="Arial"/>
          <w:sz w:val="10"/>
          <w:szCs w:val="10"/>
          <w:lang w:val="uk-UA"/>
        </w:rPr>
      </w:r>
    </w:p>
    <w:p>
      <w:pPr>
        <w:pStyle w:val="Normal"/>
        <w:spacing w:lineRule="auto" w:line="240" w:before="0" w:after="0"/>
        <w:jc w:val="both"/>
        <w:rPr>
          <w:rFonts w:ascii="Arial" w:hAnsi="Arial" w:eastAsia="Garamond" w:cs="Arial"/>
          <w:sz w:val="24"/>
          <w:szCs w:val="24"/>
          <w:lang w:val="uk-UA"/>
        </w:rPr>
      </w:pPr>
      <w:r>
        <w:rPr>
          <w:rFonts w:eastAsia="Garamond" w:cs="Arial" w:ascii="Arial" w:hAnsi="Arial"/>
          <w:sz w:val="24"/>
          <w:szCs w:val="24"/>
          <w:lang w:val="uk-UA"/>
        </w:rPr>
        <w:t xml:space="preserve">Витрати Компанії та грошові потоки від операційної діяльності залежать від зміни ринкових процентних ставок. </w:t>
      </w:r>
    </w:p>
    <w:p>
      <w:pPr>
        <w:pStyle w:val="Normal"/>
        <w:spacing w:lineRule="auto" w:line="240" w:before="0" w:after="0"/>
        <w:jc w:val="both"/>
        <w:rPr>
          <w:rFonts w:ascii="Arial" w:hAnsi="Arial" w:eastAsia="Garamond" w:cs="Arial"/>
          <w:sz w:val="6"/>
          <w:szCs w:val="6"/>
          <w:lang w:val="uk-UA"/>
        </w:rPr>
      </w:pPr>
      <w:r>
        <w:rPr>
          <w:rFonts w:eastAsia="Garamond" w:cs="Arial" w:ascii="Arial" w:hAnsi="Arial"/>
          <w:sz w:val="6"/>
          <w:szCs w:val="6"/>
          <w:lang w:val="uk-UA"/>
        </w:rPr>
      </w:r>
    </w:p>
    <w:p>
      <w:pPr>
        <w:pStyle w:val="Normal"/>
        <w:spacing w:lineRule="auto" w:line="240" w:before="0" w:after="0"/>
        <w:jc w:val="both"/>
        <w:rPr>
          <w:rFonts w:ascii="Arial" w:hAnsi="Arial" w:eastAsia="Garamond" w:cs="Arial"/>
          <w:sz w:val="24"/>
          <w:szCs w:val="24"/>
          <w:lang w:val="uk-UA"/>
        </w:rPr>
      </w:pPr>
      <w:r>
        <w:rPr>
          <w:rFonts w:eastAsia="Garamond" w:cs="Arial" w:ascii="Arial" w:hAnsi="Arial"/>
          <w:sz w:val="24"/>
          <w:szCs w:val="24"/>
          <w:lang w:val="uk-UA"/>
        </w:rPr>
        <w:t xml:space="preserve">Станом на 31 грудня 2019 р. Компанія має відсоткові банківські позики. Річний відсоток за кредитом дорівнює сумі міжбанківського курсу та маржі, зміненій відповідно до «Цінової решітки». Така зміна визначається як функція Коефіцієнта обслуговування Боргу, який розраховується щоквартально на підставі фінансових звітів, підготовлених згідно з українськими П(С)БО. </w:t>
      </w:r>
    </w:p>
    <w:p>
      <w:pPr>
        <w:pStyle w:val="Normal"/>
        <w:spacing w:lineRule="auto" w:line="240" w:before="0" w:after="0"/>
        <w:jc w:val="both"/>
        <w:rPr>
          <w:rFonts w:ascii="Arial" w:hAnsi="Arial" w:eastAsia="Garamond" w:cs="Arial"/>
          <w:b/>
          <w:b/>
          <w:sz w:val="24"/>
          <w:szCs w:val="24"/>
          <w:lang w:val="uk-UA"/>
        </w:rPr>
      </w:pPr>
      <w:r>
        <w:rPr>
          <w:rFonts w:eastAsia="Garamond" w:cs="Arial" w:ascii="Arial" w:hAnsi="Arial"/>
          <w:b/>
          <w:sz w:val="24"/>
          <w:szCs w:val="24"/>
          <w:lang w:val="uk-UA"/>
        </w:rPr>
      </w:r>
    </w:p>
    <w:p>
      <w:pPr>
        <w:pStyle w:val="Normal"/>
        <w:spacing w:lineRule="auto" w:line="240" w:before="0" w:after="0"/>
        <w:jc w:val="both"/>
        <w:rPr>
          <w:rFonts w:ascii="Arial" w:hAnsi="Arial" w:eastAsia="Garamond" w:cs="Arial"/>
          <w:b/>
          <w:b/>
          <w:sz w:val="24"/>
          <w:szCs w:val="24"/>
          <w:lang w:val="uk-UA"/>
        </w:rPr>
      </w:pPr>
      <w:r>
        <w:rPr>
          <w:rFonts w:eastAsia="Garamond" w:cs="Arial" w:ascii="Arial" w:hAnsi="Arial"/>
          <w:b/>
          <w:sz w:val="24"/>
          <w:szCs w:val="24"/>
          <w:lang w:val="uk-UA"/>
        </w:rPr>
        <w:t>Валютний ризик</w:t>
      </w:r>
    </w:p>
    <w:p>
      <w:pPr>
        <w:pStyle w:val="Normal"/>
        <w:spacing w:lineRule="auto" w:line="240" w:before="0" w:after="0"/>
        <w:rPr>
          <w:rFonts w:ascii="Arial" w:hAnsi="Arial" w:cs="Arial"/>
          <w:sz w:val="10"/>
          <w:szCs w:val="10"/>
          <w:lang w:val="uk-UA"/>
        </w:rPr>
      </w:pPr>
      <w:r>
        <w:rPr>
          <w:rFonts w:cs="Arial" w:ascii="Arial" w:hAnsi="Arial"/>
          <w:sz w:val="10"/>
          <w:szCs w:val="10"/>
          <w:lang w:val="uk-UA"/>
        </w:rPr>
      </w:r>
    </w:p>
    <w:p>
      <w:pPr>
        <w:pStyle w:val="Normal"/>
        <w:spacing w:lineRule="auto" w:line="240" w:before="0" w:after="0"/>
        <w:jc w:val="both"/>
        <w:rPr>
          <w:rFonts w:ascii="Arial" w:hAnsi="Arial" w:eastAsia="Garamond" w:cs="Arial"/>
          <w:sz w:val="24"/>
          <w:szCs w:val="24"/>
          <w:lang w:val="uk-UA"/>
        </w:rPr>
      </w:pPr>
      <w:r>
        <w:rPr>
          <w:rFonts w:eastAsia="Garamond" w:cs="Arial" w:ascii="Arial" w:hAnsi="Arial"/>
          <w:sz w:val="24"/>
          <w:szCs w:val="24"/>
          <w:lang w:val="uk-UA"/>
        </w:rPr>
        <w:t>Компанія не володіла станом 31 грудня 2019 р. та 31 грудня 2018 р. фінансовими інструментами, представленими у валюті, що відрізняється від функціональної валюти. Компанія отримувала кредити та здійснювала валютні операції (купівля/продаж валюти та сплата банківської комісії та відсотків за кредит в іноземній валюті (євро та долари США).</w:t>
      </w:r>
    </w:p>
    <w:p>
      <w:pPr>
        <w:pStyle w:val="Normal"/>
        <w:spacing w:lineRule="auto" w:line="240" w:before="0" w:after="0"/>
        <w:rPr>
          <w:rFonts w:ascii="Arial" w:hAnsi="Arial" w:cs="Arial"/>
          <w:sz w:val="10"/>
          <w:szCs w:val="10"/>
          <w:lang w:val="uk-UA"/>
        </w:rPr>
      </w:pPr>
      <w:r>
        <w:rPr>
          <w:rFonts w:cs="Arial" w:ascii="Arial" w:hAnsi="Arial"/>
          <w:sz w:val="10"/>
          <w:szCs w:val="10"/>
          <w:lang w:val="uk-UA"/>
        </w:rPr>
      </w:r>
    </w:p>
    <w:p>
      <w:pPr>
        <w:pStyle w:val="Normal"/>
        <w:spacing w:lineRule="auto" w:line="240" w:before="0" w:after="0"/>
        <w:jc w:val="both"/>
        <w:rPr>
          <w:rFonts w:ascii="Arial" w:hAnsi="Arial" w:eastAsia="Garamond" w:cs="Arial"/>
          <w:sz w:val="24"/>
          <w:szCs w:val="24"/>
          <w:lang w:val="uk-UA"/>
        </w:rPr>
      </w:pPr>
      <w:r>
        <w:rPr>
          <w:rFonts w:eastAsia="Garamond" w:cs="Arial" w:ascii="Arial" w:hAnsi="Arial"/>
          <w:sz w:val="24"/>
          <w:szCs w:val="24"/>
          <w:lang w:val="uk-UA"/>
        </w:rPr>
        <w:t>Обмінний курс євро та доларів США по відношенню до української гривні, встановлений НБУ на зазначені дати, був наступний:</w:t>
      </w:r>
    </w:p>
    <w:p>
      <w:pPr>
        <w:pStyle w:val="Normal"/>
        <w:spacing w:lineRule="auto" w:line="240" w:before="0" w:after="0"/>
        <w:jc w:val="both"/>
        <w:rPr>
          <w:rFonts w:ascii="Arial" w:hAnsi="Arial" w:eastAsia="Garamond" w:cs="Arial"/>
          <w:sz w:val="10"/>
          <w:szCs w:val="10"/>
          <w:lang w:val="uk-UA"/>
        </w:rPr>
      </w:pPr>
      <w:r>
        <w:rPr>
          <w:rFonts w:eastAsia="Garamond" w:cs="Arial" w:ascii="Arial" w:hAnsi="Arial"/>
          <w:sz w:val="10"/>
          <w:szCs w:val="10"/>
          <w:lang w:val="uk-UA"/>
        </w:rPr>
      </w:r>
    </w:p>
    <w:p>
      <w:pPr>
        <w:pStyle w:val="Normal"/>
        <w:tabs>
          <w:tab w:val="clear" w:pos="720"/>
          <w:tab w:val="left" w:pos="8120" w:leader="none"/>
        </w:tabs>
        <w:spacing w:lineRule="auto" w:line="240" w:before="0" w:after="0"/>
        <w:jc w:val="right"/>
        <w:rPr>
          <w:rFonts w:ascii="Arial" w:hAnsi="Arial" w:eastAsia="Garamond" w:cs="Arial"/>
          <w:b/>
          <w:b/>
          <w:lang w:val="uk-UA"/>
        </w:rPr>
      </w:pPr>
      <w:r>
        <w:rPr>
          <w:rFonts w:eastAsia="Garamond" w:cs="Arial" w:ascii="Arial" w:hAnsi="Arial"/>
          <w:b/>
          <w:lang w:val="uk-UA"/>
        </w:rPr>
        <w:t>Курс євро</w:t>
      </w:r>
    </w:p>
    <w:p>
      <w:pPr>
        <w:pStyle w:val="ListParagraph"/>
        <w:numPr>
          <w:ilvl w:val="0"/>
          <w:numId w:val="1"/>
        </w:numPr>
        <w:tabs>
          <w:tab w:val="clear" w:pos="720"/>
          <w:tab w:val="left" w:pos="567" w:leader="none"/>
          <w:tab w:val="right" w:pos="9356" w:leader="none"/>
        </w:tabs>
        <w:spacing w:lineRule="auto" w:line="240" w:before="0" w:after="0"/>
        <w:ind w:left="567" w:hanging="360"/>
        <w:contextualSpacing/>
        <w:rPr>
          <w:rFonts w:ascii="Arial" w:hAnsi="Arial" w:eastAsia="Garamond" w:cs="Arial"/>
          <w:lang w:val="uk-UA"/>
        </w:rPr>
      </w:pPr>
      <w:r>
        <w:rPr>
          <w:rFonts w:eastAsia="Garamond" w:cs="Arial" w:ascii="Arial" w:hAnsi="Arial"/>
          <w:lang w:val="uk-UA"/>
        </w:rPr>
        <w:t>31 грудня 2018 р.</w:t>
        <w:tab/>
        <w:t>31,7141</w:t>
      </w:r>
    </w:p>
    <w:p>
      <w:pPr>
        <w:pStyle w:val="ListParagraph"/>
        <w:numPr>
          <w:ilvl w:val="0"/>
          <w:numId w:val="1"/>
        </w:numPr>
        <w:tabs>
          <w:tab w:val="clear" w:pos="720"/>
          <w:tab w:val="left" w:pos="567" w:leader="none"/>
          <w:tab w:val="right" w:pos="9356" w:leader="none"/>
        </w:tabs>
        <w:spacing w:lineRule="auto" w:line="240" w:before="0" w:after="0"/>
        <w:contextualSpacing/>
        <w:rPr>
          <w:rFonts w:ascii="Arial" w:hAnsi="Arial" w:eastAsia="Garamond" w:cs="Arial"/>
          <w:lang w:val="uk-UA"/>
        </w:rPr>
      </w:pPr>
      <w:r>
        <w:rPr>
          <w:rFonts w:eastAsia="Garamond" w:cs="Arial" w:ascii="Arial" w:hAnsi="Arial"/>
          <w:lang w:val="uk-UA"/>
        </w:rPr>
        <w:t>31 грудня 2019 р.</w:t>
        <w:tab/>
        <w:t>26,422</w:t>
      </w:r>
    </w:p>
    <w:p>
      <w:pPr>
        <w:pStyle w:val="Normal"/>
        <w:tabs>
          <w:tab w:val="clear" w:pos="720"/>
          <w:tab w:val="left" w:pos="8120" w:leader="none"/>
        </w:tabs>
        <w:spacing w:lineRule="auto" w:line="240" w:before="0" w:after="0"/>
        <w:jc w:val="right"/>
        <w:rPr>
          <w:rFonts w:ascii="Arial" w:hAnsi="Arial" w:eastAsia="Garamond" w:cs="Arial"/>
          <w:b/>
          <w:b/>
          <w:lang w:val="uk-UA"/>
        </w:rPr>
      </w:pPr>
      <w:r>
        <w:rPr>
          <w:rFonts w:eastAsia="Garamond" w:cs="Arial" w:ascii="Arial" w:hAnsi="Arial"/>
          <w:b/>
          <w:lang w:val="uk-UA"/>
        </w:rPr>
      </w:r>
    </w:p>
    <w:p>
      <w:pPr>
        <w:pStyle w:val="Normal"/>
        <w:tabs>
          <w:tab w:val="clear" w:pos="720"/>
          <w:tab w:val="left" w:pos="8120" w:leader="none"/>
        </w:tabs>
        <w:spacing w:lineRule="auto" w:line="240" w:before="0" w:after="0"/>
        <w:jc w:val="right"/>
        <w:rPr>
          <w:rFonts w:ascii="Arial" w:hAnsi="Arial" w:eastAsia="Garamond" w:cs="Arial"/>
          <w:b/>
          <w:b/>
          <w:lang w:val="uk-UA"/>
        </w:rPr>
      </w:pPr>
      <w:r>
        <w:rPr>
          <w:rFonts w:eastAsia="Garamond" w:cs="Arial" w:ascii="Arial" w:hAnsi="Arial"/>
          <w:b/>
          <w:lang w:val="uk-UA"/>
        </w:rPr>
        <w:t>Курс дол. США</w:t>
      </w:r>
    </w:p>
    <w:p>
      <w:pPr>
        <w:pStyle w:val="ListParagraph"/>
        <w:numPr>
          <w:ilvl w:val="0"/>
          <w:numId w:val="1"/>
        </w:numPr>
        <w:tabs>
          <w:tab w:val="clear" w:pos="720"/>
          <w:tab w:val="left" w:pos="567" w:leader="none"/>
          <w:tab w:val="right" w:pos="9356" w:leader="none"/>
        </w:tabs>
        <w:spacing w:lineRule="auto" w:line="240" w:before="0" w:after="0"/>
        <w:contextualSpacing/>
        <w:rPr>
          <w:rFonts w:ascii="Arial" w:hAnsi="Arial" w:eastAsia="Garamond" w:cs="Arial"/>
          <w:lang w:val="uk-UA"/>
        </w:rPr>
      </w:pPr>
      <w:r>
        <w:rPr>
          <w:rFonts w:eastAsia="Garamond" w:cs="Arial" w:ascii="Arial" w:hAnsi="Arial"/>
          <w:lang w:val="uk-UA"/>
        </w:rPr>
        <w:t>31 грудня 2018 р.</w:t>
        <w:tab/>
        <w:t>27,6883</w:t>
      </w:r>
    </w:p>
    <w:p>
      <w:pPr>
        <w:pStyle w:val="ListParagraph"/>
        <w:numPr>
          <w:ilvl w:val="0"/>
          <w:numId w:val="1"/>
        </w:numPr>
        <w:tabs>
          <w:tab w:val="clear" w:pos="720"/>
          <w:tab w:val="left" w:pos="567" w:leader="none"/>
          <w:tab w:val="right" w:pos="9356" w:leader="none"/>
        </w:tabs>
        <w:spacing w:lineRule="auto" w:line="240" w:before="0" w:after="0"/>
        <w:ind w:left="567" w:hanging="360"/>
        <w:contextualSpacing/>
        <w:rPr>
          <w:rFonts w:ascii="Arial" w:hAnsi="Arial" w:eastAsia="Garamond" w:cs="Arial"/>
          <w:lang w:val="uk-UA"/>
        </w:rPr>
      </w:pPr>
      <w:r>
        <w:rPr>
          <w:rFonts w:eastAsia="Garamond" w:cs="Arial" w:ascii="Arial" w:hAnsi="Arial"/>
          <w:lang w:val="uk-UA"/>
        </w:rPr>
        <w:t>31 грудня 2019 р.</w:t>
        <w:tab/>
        <w:t>23,6862</w:t>
      </w:r>
    </w:p>
    <w:p>
      <w:pPr>
        <w:pStyle w:val="Normal"/>
        <w:spacing w:lineRule="auto" w:line="240" w:before="0" w:after="0"/>
        <w:jc w:val="both"/>
        <w:rPr>
          <w:rFonts w:ascii="Arial" w:hAnsi="Arial" w:eastAsia="Garamond" w:cs="Arial"/>
          <w:b/>
          <w:b/>
          <w:sz w:val="10"/>
          <w:szCs w:val="10"/>
          <w:u w:val="single" w:color="000000"/>
          <w:lang w:val="uk-UA"/>
        </w:rPr>
      </w:pPr>
      <w:r>
        <w:rPr>
          <w:rFonts w:eastAsia="Garamond" w:cs="Arial" w:ascii="Arial" w:hAnsi="Arial"/>
          <w:b/>
          <w:sz w:val="10"/>
          <w:szCs w:val="10"/>
          <w:u w:val="single" w:color="000000"/>
          <w:lang w:val="uk-UA"/>
        </w:rPr>
      </w:r>
    </w:p>
    <w:p>
      <w:pPr>
        <w:pStyle w:val="Normal"/>
        <w:spacing w:lineRule="auto" w:line="240" w:before="0" w:after="0"/>
        <w:jc w:val="both"/>
        <w:rPr>
          <w:rFonts w:ascii="Arial" w:hAnsi="Arial" w:eastAsia="Garamond" w:cs="Arial"/>
          <w:sz w:val="24"/>
          <w:szCs w:val="24"/>
          <w:lang w:val="uk-UA"/>
        </w:rPr>
      </w:pPr>
      <w:r>
        <w:rPr>
          <w:rFonts w:eastAsia="Garamond" w:cs="Arial" w:ascii="Arial" w:hAnsi="Arial"/>
          <w:sz w:val="24"/>
          <w:szCs w:val="24"/>
          <w:lang w:val="uk-UA"/>
        </w:rPr>
        <w:t>Ризик операційної курсової різниці стосується монетарних активів та зобов’язань Компанії, виражених в іноземній валюті, та виникає внаслідок коливань курсів на валютному ринку. Такий ризик виникає при операціях купівлі/продажу Компанією в валютах інших, ніж функціональна. Компанія не проводить операції з метою хеджування валютних ризиків.</w:t>
      </w:r>
    </w:p>
    <w:p>
      <w:pPr>
        <w:pStyle w:val="Normal"/>
        <w:spacing w:lineRule="auto" w:line="240" w:before="0" w:after="0"/>
        <w:rPr>
          <w:rFonts w:ascii="Arial" w:hAnsi="Arial" w:cs="Arial"/>
          <w:sz w:val="6"/>
          <w:szCs w:val="6"/>
          <w:lang w:val="uk-UA"/>
        </w:rPr>
      </w:pPr>
      <w:r>
        <w:rPr>
          <w:rFonts w:cs="Arial" w:ascii="Arial" w:hAnsi="Arial"/>
          <w:sz w:val="6"/>
          <w:szCs w:val="6"/>
          <w:lang w:val="uk-UA"/>
        </w:rPr>
      </w:r>
    </w:p>
    <w:p>
      <w:pPr>
        <w:pStyle w:val="Normal"/>
        <w:spacing w:lineRule="auto" w:line="240" w:before="0" w:after="0"/>
        <w:jc w:val="both"/>
        <w:rPr>
          <w:rFonts w:ascii="Arial" w:hAnsi="Arial" w:eastAsia="Garamond" w:cs="Arial"/>
          <w:sz w:val="24"/>
          <w:szCs w:val="24"/>
          <w:lang w:val="uk-UA"/>
        </w:rPr>
      </w:pPr>
      <w:r>
        <w:rPr>
          <w:rFonts w:eastAsia="Garamond" w:cs="Arial" w:ascii="Arial" w:hAnsi="Arial"/>
          <w:sz w:val="24"/>
          <w:szCs w:val="24"/>
          <w:lang w:val="uk-UA"/>
        </w:rPr>
        <w:t>Нижче представлено чутливість прибутку до оподаткування Компанії до вірогідної зміни обмінного курсу (внаслідок змін у справедливій вартості фінансових активів та зобов’язань), при постійному значенні всіх інших змінних. Такі зміни не вплинуть на власний капітал Компанії.</w:t>
      </w:r>
    </w:p>
    <w:p>
      <w:pPr>
        <w:pStyle w:val="Normal"/>
        <w:spacing w:lineRule="auto" w:line="240" w:before="0" w:after="0"/>
        <w:jc w:val="both"/>
        <w:rPr>
          <w:rFonts w:ascii="Arial" w:hAnsi="Arial" w:eastAsia="Garamond" w:cs="Arial"/>
          <w:sz w:val="24"/>
          <w:szCs w:val="24"/>
          <w:lang w:val="uk-UA"/>
        </w:rPr>
      </w:pPr>
      <w:r>
        <w:rPr>
          <w:rFonts w:eastAsia="Garamond" w:cs="Arial" w:ascii="Arial" w:hAnsi="Arial"/>
          <w:sz w:val="24"/>
          <w:szCs w:val="24"/>
          <w:lang w:val="uk-UA"/>
        </w:rPr>
      </w:r>
    </w:p>
    <w:tbl>
      <w:tblPr>
        <w:tblW w:w="9342" w:type="dxa"/>
        <w:jc w:val="left"/>
        <w:tblInd w:w="108" w:type="dxa"/>
        <w:tblCellMar>
          <w:top w:w="0" w:type="dxa"/>
          <w:left w:w="108" w:type="dxa"/>
          <w:bottom w:w="0" w:type="dxa"/>
          <w:right w:w="108" w:type="dxa"/>
        </w:tblCellMar>
        <w:tblLook w:firstRow="1" w:noVBand="0" w:lastRow="1" w:firstColumn="1" w:lastColumn="1" w:noHBand="0" w:val="01e0"/>
      </w:tblPr>
      <w:tblGrid>
        <w:gridCol w:w="1591"/>
        <w:gridCol w:w="1769"/>
        <w:gridCol w:w="1951"/>
        <w:gridCol w:w="238"/>
        <w:gridCol w:w="1895"/>
        <w:gridCol w:w="1897"/>
      </w:tblGrid>
      <w:tr>
        <w:trPr>
          <w:trHeight w:val="20" w:hRule="atLeast"/>
        </w:trPr>
        <w:tc>
          <w:tcPr>
            <w:tcW w:w="1591" w:type="dxa"/>
            <w:tcBorders/>
          </w:tcPr>
          <w:p>
            <w:pPr>
              <w:pStyle w:val="Normal"/>
              <w:spacing w:lineRule="auto" w:line="240" w:before="0" w:after="0"/>
              <w:rPr>
                <w:rFonts w:ascii="Arial" w:hAnsi="Arial" w:eastAsia="Garamond" w:cs="Arial"/>
                <w:lang w:val="uk-UA"/>
              </w:rPr>
            </w:pPr>
            <w:r>
              <w:rPr>
                <w:rFonts w:eastAsia="Garamond" w:cs="Arial" w:ascii="Arial" w:hAnsi="Arial"/>
                <w:lang w:val="uk-UA"/>
              </w:rPr>
            </w:r>
          </w:p>
        </w:tc>
        <w:tc>
          <w:tcPr>
            <w:tcW w:w="3720" w:type="dxa"/>
            <w:gridSpan w:val="2"/>
            <w:tcBorders>
              <w:top w:val="single" w:sz="4" w:space="0" w:color="000000"/>
            </w:tcBorders>
          </w:tcPr>
          <w:p>
            <w:pPr>
              <w:pStyle w:val="Normal"/>
              <w:spacing w:lineRule="auto" w:line="240" w:before="0" w:after="0"/>
              <w:jc w:val="center"/>
              <w:rPr>
                <w:rFonts w:ascii="Arial" w:hAnsi="Arial" w:eastAsia="Garamond" w:cs="Arial"/>
                <w:lang w:val="uk-UA"/>
              </w:rPr>
            </w:pPr>
            <w:r>
              <w:rPr>
                <w:rFonts w:eastAsia="Garamond" w:cs="Arial" w:ascii="Arial" w:hAnsi="Arial"/>
                <w:b/>
                <w:bCs/>
                <w:lang w:val="uk-UA"/>
              </w:rPr>
              <w:t>31 грудня 2019</w:t>
            </w:r>
          </w:p>
        </w:tc>
        <w:tc>
          <w:tcPr>
            <w:tcW w:w="238" w:type="dxa"/>
            <w:tcBorders/>
          </w:tcPr>
          <w:p>
            <w:pPr>
              <w:pStyle w:val="Normal"/>
              <w:spacing w:lineRule="auto" w:line="240" w:before="0" w:after="0"/>
              <w:rPr>
                <w:rFonts w:ascii="Arial" w:hAnsi="Arial" w:cs="Arial"/>
                <w:lang w:val="uk-UA"/>
              </w:rPr>
            </w:pPr>
            <w:r>
              <w:rPr>
                <w:rFonts w:cs="Arial" w:ascii="Arial" w:hAnsi="Arial"/>
                <w:lang w:val="uk-UA"/>
              </w:rPr>
            </w:r>
          </w:p>
        </w:tc>
        <w:tc>
          <w:tcPr>
            <w:tcW w:w="3792" w:type="dxa"/>
            <w:gridSpan w:val="2"/>
            <w:tcBorders>
              <w:top w:val="single" w:sz="4" w:space="0" w:color="000000"/>
            </w:tcBorders>
          </w:tcPr>
          <w:p>
            <w:pPr>
              <w:pStyle w:val="Normal"/>
              <w:spacing w:lineRule="auto" w:line="240" w:before="0" w:after="0"/>
              <w:jc w:val="center"/>
              <w:rPr>
                <w:rFonts w:ascii="Arial" w:hAnsi="Arial" w:eastAsia="Garamond" w:cs="Arial"/>
                <w:lang w:val="uk-UA"/>
              </w:rPr>
            </w:pPr>
            <w:r>
              <w:rPr>
                <w:rFonts w:eastAsia="Garamond" w:cs="Arial" w:ascii="Arial" w:hAnsi="Arial"/>
                <w:b/>
                <w:bCs/>
                <w:lang w:val="uk-UA"/>
              </w:rPr>
              <w:t>31 грудня 2018</w:t>
            </w:r>
          </w:p>
        </w:tc>
      </w:tr>
      <w:tr>
        <w:trPr>
          <w:trHeight w:val="20" w:hRule="atLeast"/>
        </w:trPr>
        <w:tc>
          <w:tcPr>
            <w:tcW w:w="1591" w:type="dxa"/>
            <w:tcBorders/>
          </w:tcPr>
          <w:p>
            <w:pPr>
              <w:pStyle w:val="Normal"/>
              <w:spacing w:lineRule="auto" w:line="240" w:before="0" w:after="0"/>
              <w:rPr>
                <w:rFonts w:ascii="Arial" w:hAnsi="Arial" w:eastAsia="Garamond" w:cs="Arial"/>
                <w:lang w:val="uk-UA"/>
              </w:rPr>
            </w:pPr>
            <w:r>
              <w:rPr>
                <w:rFonts w:eastAsia="Garamond" w:cs="Arial" w:ascii="Arial" w:hAnsi="Arial"/>
                <w:lang w:val="uk-UA"/>
              </w:rPr>
            </w:r>
          </w:p>
        </w:tc>
        <w:tc>
          <w:tcPr>
            <w:tcW w:w="1769" w:type="dxa"/>
            <w:tcBorders>
              <w:top w:val="single" w:sz="4" w:space="0" w:color="000000"/>
            </w:tcBorders>
            <w:vAlign w:val="center"/>
          </w:tcPr>
          <w:p>
            <w:pPr>
              <w:pStyle w:val="Normal"/>
              <w:spacing w:lineRule="auto" w:line="240" w:before="0" w:after="0"/>
              <w:jc w:val="center"/>
              <w:rPr>
                <w:rFonts w:ascii="Arial" w:hAnsi="Arial" w:eastAsia="Garamond" w:cs="Arial"/>
                <w:b/>
                <w:b/>
                <w:bCs/>
                <w:lang w:val="uk-UA"/>
              </w:rPr>
            </w:pPr>
            <w:r>
              <w:rPr>
                <w:rFonts w:eastAsia="Garamond" w:cs="Arial" w:ascii="Arial" w:hAnsi="Arial"/>
                <w:b/>
                <w:bCs/>
                <w:lang w:val="uk-UA"/>
              </w:rPr>
              <w:t>Зміна курсу</w:t>
            </w:r>
          </w:p>
          <w:p>
            <w:pPr>
              <w:pStyle w:val="Normal"/>
              <w:spacing w:lineRule="auto" w:line="240" w:before="0" w:after="0"/>
              <w:jc w:val="center"/>
              <w:rPr>
                <w:rFonts w:ascii="Arial" w:hAnsi="Arial" w:eastAsia="Garamond" w:cs="Arial"/>
                <w:lang w:val="uk-UA"/>
              </w:rPr>
            </w:pPr>
            <w:r>
              <w:rPr>
                <w:rFonts w:eastAsia="Garamond" w:cs="Arial" w:ascii="Arial" w:hAnsi="Arial"/>
                <w:b/>
                <w:bCs/>
                <w:lang w:val="uk-UA"/>
              </w:rPr>
              <w:t>гривні</w:t>
            </w:r>
          </w:p>
        </w:tc>
        <w:tc>
          <w:tcPr>
            <w:tcW w:w="1951" w:type="dxa"/>
            <w:tcBorders>
              <w:top w:val="single" w:sz="4" w:space="0" w:color="000000"/>
            </w:tcBorders>
            <w:vAlign w:val="center"/>
          </w:tcPr>
          <w:p>
            <w:pPr>
              <w:pStyle w:val="Normal"/>
              <w:spacing w:lineRule="auto" w:line="240" w:before="0" w:after="0"/>
              <w:jc w:val="center"/>
              <w:rPr>
                <w:rFonts w:ascii="Arial" w:hAnsi="Arial" w:eastAsia="Garamond" w:cs="Arial"/>
                <w:lang w:val="uk-UA"/>
              </w:rPr>
            </w:pPr>
            <w:r>
              <w:rPr>
                <w:rFonts w:eastAsia="Garamond" w:cs="Arial" w:ascii="Arial" w:hAnsi="Arial"/>
                <w:b/>
                <w:bCs/>
                <w:lang w:val="uk-UA"/>
              </w:rPr>
              <w:t>Вплив на прибуток до оподаткування</w:t>
            </w:r>
          </w:p>
        </w:tc>
        <w:tc>
          <w:tcPr>
            <w:tcW w:w="238" w:type="dxa"/>
            <w:tcBorders/>
            <w:vAlign w:val="center"/>
          </w:tcPr>
          <w:p>
            <w:pPr>
              <w:pStyle w:val="Normal"/>
              <w:spacing w:lineRule="auto" w:line="240" w:before="0" w:after="0"/>
              <w:rPr>
                <w:rFonts w:ascii="Arial" w:hAnsi="Arial" w:cs="Arial"/>
                <w:lang w:val="uk-UA"/>
              </w:rPr>
            </w:pPr>
            <w:r>
              <w:rPr>
                <w:rFonts w:cs="Arial" w:ascii="Arial" w:hAnsi="Arial"/>
                <w:lang w:val="uk-UA"/>
              </w:rPr>
            </w:r>
          </w:p>
        </w:tc>
        <w:tc>
          <w:tcPr>
            <w:tcW w:w="1895" w:type="dxa"/>
            <w:tcBorders>
              <w:top w:val="single" w:sz="4" w:space="0" w:color="000000"/>
            </w:tcBorders>
            <w:vAlign w:val="center"/>
          </w:tcPr>
          <w:p>
            <w:pPr>
              <w:pStyle w:val="Normal"/>
              <w:spacing w:lineRule="auto" w:line="240" w:before="0" w:after="0"/>
              <w:jc w:val="center"/>
              <w:rPr>
                <w:rFonts w:ascii="Arial" w:hAnsi="Arial" w:eastAsia="Garamond" w:cs="Arial"/>
                <w:b/>
                <w:b/>
                <w:bCs/>
                <w:lang w:val="uk-UA"/>
              </w:rPr>
            </w:pPr>
            <w:r>
              <w:rPr>
                <w:rFonts w:eastAsia="Garamond" w:cs="Arial" w:ascii="Arial" w:hAnsi="Arial"/>
                <w:b/>
                <w:bCs/>
                <w:lang w:val="uk-UA"/>
              </w:rPr>
              <w:t>Зміна курсу</w:t>
            </w:r>
          </w:p>
          <w:p>
            <w:pPr>
              <w:pStyle w:val="Normal"/>
              <w:spacing w:lineRule="auto" w:line="240" w:before="0" w:after="0"/>
              <w:jc w:val="center"/>
              <w:rPr>
                <w:rFonts w:ascii="Arial" w:hAnsi="Arial" w:eastAsia="Garamond" w:cs="Arial"/>
                <w:lang w:val="uk-UA"/>
              </w:rPr>
            </w:pPr>
            <w:r>
              <w:rPr>
                <w:rFonts w:eastAsia="Garamond" w:cs="Arial" w:ascii="Arial" w:hAnsi="Arial"/>
                <w:b/>
                <w:bCs/>
                <w:lang w:val="uk-UA"/>
              </w:rPr>
              <w:t>гривні</w:t>
            </w:r>
          </w:p>
        </w:tc>
        <w:tc>
          <w:tcPr>
            <w:tcW w:w="1897" w:type="dxa"/>
            <w:tcBorders>
              <w:top w:val="single" w:sz="4" w:space="0" w:color="000000"/>
            </w:tcBorders>
            <w:vAlign w:val="center"/>
          </w:tcPr>
          <w:p>
            <w:pPr>
              <w:pStyle w:val="Normal"/>
              <w:spacing w:lineRule="auto" w:line="240" w:before="0" w:after="0"/>
              <w:jc w:val="center"/>
              <w:rPr>
                <w:rFonts w:ascii="Arial" w:hAnsi="Arial" w:eastAsia="Garamond" w:cs="Arial"/>
                <w:lang w:val="uk-UA"/>
              </w:rPr>
            </w:pPr>
            <w:r>
              <w:rPr>
                <w:rFonts w:eastAsia="Garamond" w:cs="Arial" w:ascii="Arial" w:hAnsi="Arial"/>
                <w:b/>
                <w:bCs/>
                <w:lang w:val="uk-UA"/>
              </w:rPr>
              <w:t>Вплив на прибуток до оподаткування</w:t>
            </w:r>
          </w:p>
        </w:tc>
      </w:tr>
      <w:tr>
        <w:trPr>
          <w:trHeight w:val="20" w:hRule="atLeast"/>
        </w:trPr>
        <w:tc>
          <w:tcPr>
            <w:tcW w:w="1591" w:type="dxa"/>
            <w:tcBorders/>
          </w:tcPr>
          <w:p>
            <w:pPr>
              <w:pStyle w:val="Normal"/>
              <w:spacing w:lineRule="auto" w:line="240" w:before="0" w:after="0"/>
              <w:ind w:left="-108" w:hanging="0"/>
              <w:rPr>
                <w:rFonts w:ascii="Arial" w:hAnsi="Arial" w:eastAsia="Garamond" w:cs="Arial"/>
                <w:lang w:val="uk-UA"/>
              </w:rPr>
            </w:pPr>
            <w:r>
              <w:rPr>
                <w:rFonts w:eastAsia="Garamond" w:cs="Arial" w:ascii="Arial" w:hAnsi="Arial"/>
                <w:lang w:val="uk-UA"/>
              </w:rPr>
              <w:t>Гривня/Євро</w:t>
            </w:r>
          </w:p>
        </w:tc>
        <w:tc>
          <w:tcPr>
            <w:tcW w:w="1769" w:type="dxa"/>
            <w:tcBorders>
              <w:top w:val="single" w:sz="4" w:space="0" w:color="000000"/>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10%</w:t>
            </w:r>
          </w:p>
        </w:tc>
        <w:tc>
          <w:tcPr>
            <w:tcW w:w="1951" w:type="dxa"/>
            <w:tcBorders>
              <w:top w:val="single" w:sz="4" w:space="0" w:color="000000"/>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7,942</w:t>
            </w:r>
          </w:p>
        </w:tc>
        <w:tc>
          <w:tcPr>
            <w:tcW w:w="238" w:type="dxa"/>
            <w:tcBorders/>
            <w:vAlign w:val="center"/>
          </w:tcPr>
          <w:p>
            <w:pPr>
              <w:pStyle w:val="Normal"/>
              <w:spacing w:lineRule="auto" w:line="240" w:before="0" w:after="0"/>
              <w:jc w:val="right"/>
              <w:rPr>
                <w:rFonts w:ascii="Arial" w:hAnsi="Arial" w:cs="Arial"/>
                <w:lang w:val="uk-UA"/>
              </w:rPr>
            </w:pPr>
            <w:r>
              <w:rPr>
                <w:rFonts w:cs="Arial" w:ascii="Arial" w:hAnsi="Arial"/>
                <w:lang w:val="uk-UA"/>
              </w:rPr>
            </w:r>
          </w:p>
        </w:tc>
        <w:tc>
          <w:tcPr>
            <w:tcW w:w="1895" w:type="dxa"/>
            <w:tcBorders>
              <w:top w:val="single" w:sz="4" w:space="0" w:color="000000"/>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10%</w:t>
            </w:r>
          </w:p>
        </w:tc>
        <w:tc>
          <w:tcPr>
            <w:tcW w:w="1897" w:type="dxa"/>
            <w:tcBorders>
              <w:top w:val="single" w:sz="4" w:space="0" w:color="000000"/>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4,114</w:t>
            </w:r>
          </w:p>
        </w:tc>
      </w:tr>
      <w:tr>
        <w:trPr>
          <w:trHeight w:val="20" w:hRule="atLeast"/>
        </w:trPr>
        <w:tc>
          <w:tcPr>
            <w:tcW w:w="1591" w:type="dxa"/>
            <w:tcBorders/>
          </w:tcPr>
          <w:p>
            <w:pPr>
              <w:pStyle w:val="Normal"/>
              <w:spacing w:lineRule="auto" w:line="240" w:before="0" w:after="0"/>
              <w:ind w:left="-108" w:hanging="0"/>
              <w:rPr>
                <w:rFonts w:ascii="Arial" w:hAnsi="Arial" w:eastAsia="Garamond" w:cs="Arial"/>
                <w:lang w:val="uk-UA"/>
              </w:rPr>
            </w:pPr>
            <w:r>
              <w:rPr>
                <w:rFonts w:eastAsia="Garamond" w:cs="Arial" w:ascii="Arial" w:hAnsi="Arial"/>
                <w:lang w:val="uk-UA"/>
              </w:rPr>
              <w:t>Гривня/Євро</w:t>
            </w:r>
          </w:p>
        </w:tc>
        <w:tc>
          <w:tcPr>
            <w:tcW w:w="1769" w:type="dxa"/>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(10)%</w:t>
            </w:r>
          </w:p>
        </w:tc>
        <w:tc>
          <w:tcPr>
            <w:tcW w:w="1951" w:type="dxa"/>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(7,942)</w:t>
            </w:r>
          </w:p>
        </w:tc>
        <w:tc>
          <w:tcPr>
            <w:tcW w:w="238" w:type="dxa"/>
            <w:tcBorders/>
            <w:vAlign w:val="center"/>
          </w:tcPr>
          <w:p>
            <w:pPr>
              <w:pStyle w:val="Normal"/>
              <w:spacing w:lineRule="auto" w:line="240" w:before="0" w:after="0"/>
              <w:jc w:val="right"/>
              <w:rPr>
                <w:rFonts w:ascii="Arial" w:hAnsi="Arial" w:cs="Arial"/>
                <w:lang w:val="uk-UA"/>
              </w:rPr>
            </w:pPr>
            <w:r>
              <w:rPr>
                <w:rFonts w:cs="Arial" w:ascii="Arial" w:hAnsi="Arial"/>
                <w:lang w:val="uk-UA"/>
              </w:rPr>
            </w:r>
          </w:p>
        </w:tc>
        <w:tc>
          <w:tcPr>
            <w:tcW w:w="1895" w:type="dxa"/>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(10)%</w:t>
            </w:r>
          </w:p>
        </w:tc>
        <w:tc>
          <w:tcPr>
            <w:tcW w:w="1897" w:type="dxa"/>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(4,114)</w:t>
            </w:r>
          </w:p>
        </w:tc>
      </w:tr>
      <w:tr>
        <w:trPr>
          <w:trHeight w:val="20" w:hRule="atLeast"/>
        </w:trPr>
        <w:tc>
          <w:tcPr>
            <w:tcW w:w="1591" w:type="dxa"/>
            <w:tcBorders/>
          </w:tcPr>
          <w:p>
            <w:pPr>
              <w:pStyle w:val="Normal"/>
              <w:spacing w:lineRule="auto" w:line="240" w:before="0" w:after="0"/>
              <w:ind w:left="-108" w:hanging="0"/>
              <w:rPr>
                <w:rFonts w:ascii="Arial" w:hAnsi="Arial" w:eastAsia="Garamond" w:cs="Arial"/>
                <w:lang w:val="uk-UA"/>
              </w:rPr>
            </w:pPr>
            <w:r>
              <w:rPr>
                <w:rFonts w:eastAsia="Garamond" w:cs="Arial" w:ascii="Arial" w:hAnsi="Arial"/>
                <w:lang w:val="uk-UA"/>
              </w:rPr>
              <w:t>Гривня/Долар</w:t>
            </w:r>
          </w:p>
        </w:tc>
        <w:tc>
          <w:tcPr>
            <w:tcW w:w="1769" w:type="dxa"/>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10%</w:t>
            </w:r>
          </w:p>
        </w:tc>
        <w:tc>
          <w:tcPr>
            <w:tcW w:w="1951" w:type="dxa"/>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14,112</w:t>
            </w:r>
          </w:p>
        </w:tc>
        <w:tc>
          <w:tcPr>
            <w:tcW w:w="238" w:type="dxa"/>
            <w:tcBorders/>
            <w:vAlign w:val="center"/>
          </w:tcPr>
          <w:p>
            <w:pPr>
              <w:pStyle w:val="Normal"/>
              <w:spacing w:lineRule="auto" w:line="240" w:before="0" w:after="0"/>
              <w:jc w:val="right"/>
              <w:rPr>
                <w:rFonts w:ascii="Arial" w:hAnsi="Arial" w:cs="Arial"/>
                <w:lang w:val="uk-UA"/>
              </w:rPr>
            </w:pPr>
            <w:r>
              <w:rPr>
                <w:rFonts w:cs="Arial" w:ascii="Arial" w:hAnsi="Arial"/>
                <w:lang w:val="uk-UA"/>
              </w:rPr>
            </w:r>
          </w:p>
        </w:tc>
        <w:tc>
          <w:tcPr>
            <w:tcW w:w="1895" w:type="dxa"/>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10%</w:t>
            </w:r>
          </w:p>
        </w:tc>
        <w:tc>
          <w:tcPr>
            <w:tcW w:w="1897" w:type="dxa"/>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4,360</w:t>
            </w:r>
          </w:p>
        </w:tc>
      </w:tr>
      <w:tr>
        <w:trPr>
          <w:trHeight w:val="20" w:hRule="atLeast"/>
        </w:trPr>
        <w:tc>
          <w:tcPr>
            <w:tcW w:w="1591" w:type="dxa"/>
            <w:tcBorders/>
          </w:tcPr>
          <w:p>
            <w:pPr>
              <w:pStyle w:val="Normal"/>
              <w:spacing w:lineRule="auto" w:line="240" w:before="0" w:after="0"/>
              <w:ind w:left="-108" w:hanging="0"/>
              <w:rPr>
                <w:rFonts w:ascii="Arial" w:hAnsi="Arial" w:eastAsia="Garamond" w:cs="Arial"/>
                <w:lang w:val="uk-UA"/>
              </w:rPr>
            </w:pPr>
            <w:r>
              <w:rPr>
                <w:rFonts w:eastAsia="Garamond" w:cs="Arial" w:ascii="Arial" w:hAnsi="Arial"/>
                <w:lang w:val="uk-UA"/>
              </w:rPr>
              <w:t>Гривня/Долар</w:t>
            </w:r>
          </w:p>
        </w:tc>
        <w:tc>
          <w:tcPr>
            <w:tcW w:w="1769" w:type="dxa"/>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(10)%</w:t>
            </w:r>
          </w:p>
        </w:tc>
        <w:tc>
          <w:tcPr>
            <w:tcW w:w="1951" w:type="dxa"/>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(14,112)</w:t>
            </w:r>
          </w:p>
        </w:tc>
        <w:tc>
          <w:tcPr>
            <w:tcW w:w="238" w:type="dxa"/>
            <w:tcBorders/>
            <w:vAlign w:val="center"/>
          </w:tcPr>
          <w:p>
            <w:pPr>
              <w:pStyle w:val="Normal"/>
              <w:spacing w:lineRule="auto" w:line="240" w:before="0" w:after="0"/>
              <w:jc w:val="right"/>
              <w:rPr>
                <w:rFonts w:ascii="Arial" w:hAnsi="Arial" w:cs="Arial"/>
                <w:lang w:val="uk-UA"/>
              </w:rPr>
            </w:pPr>
            <w:r>
              <w:rPr>
                <w:rFonts w:cs="Arial" w:ascii="Arial" w:hAnsi="Arial"/>
                <w:lang w:val="uk-UA"/>
              </w:rPr>
            </w:r>
          </w:p>
        </w:tc>
        <w:tc>
          <w:tcPr>
            <w:tcW w:w="1895" w:type="dxa"/>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(10)%</w:t>
            </w:r>
          </w:p>
        </w:tc>
        <w:tc>
          <w:tcPr>
            <w:tcW w:w="1897" w:type="dxa"/>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(4,360)</w:t>
            </w:r>
          </w:p>
        </w:tc>
      </w:tr>
    </w:tbl>
    <w:p>
      <w:pPr>
        <w:pStyle w:val="Normal"/>
        <w:spacing w:lineRule="auto" w:line="240" w:before="0" w:after="0"/>
        <w:jc w:val="both"/>
        <w:rPr>
          <w:rFonts w:ascii="Arial" w:hAnsi="Arial" w:eastAsia="Garamond" w:cs="Arial"/>
          <w:color w:val="0070C0"/>
          <w:lang w:val="uk-UA"/>
        </w:rPr>
      </w:pPr>
      <w:r>
        <w:rPr>
          <w:rFonts w:eastAsia="Garamond" w:cs="Arial" w:ascii="Arial" w:hAnsi="Arial"/>
          <w:color w:val="0070C0"/>
          <w:lang w:val="uk-UA"/>
        </w:rPr>
      </w:r>
    </w:p>
    <w:p>
      <w:pPr>
        <w:pStyle w:val="Normal"/>
        <w:spacing w:lineRule="auto" w:line="240" w:before="0" w:after="0"/>
        <w:jc w:val="both"/>
        <w:rPr>
          <w:rFonts w:ascii="Arial" w:hAnsi="Arial" w:eastAsia="Garamond" w:cs="Arial"/>
          <w:sz w:val="24"/>
          <w:szCs w:val="24"/>
          <w:lang w:val="uk-UA"/>
        </w:rPr>
      </w:pPr>
      <w:r>
        <w:rPr>
          <w:rFonts w:eastAsia="Garamond" w:cs="Arial" w:ascii="Arial" w:hAnsi="Arial"/>
          <w:sz w:val="24"/>
          <w:szCs w:val="24"/>
          <w:lang w:val="uk-UA"/>
        </w:rPr>
        <w:t>Нижче представлені фінансові активи та зобов’язання в розрізі валют станом на 31 грудня 2019 р.:</w:t>
      </w:r>
    </w:p>
    <w:p>
      <w:pPr>
        <w:pStyle w:val="Normal"/>
        <w:spacing w:lineRule="auto" w:line="240" w:before="0" w:after="0"/>
        <w:jc w:val="both"/>
        <w:rPr>
          <w:rFonts w:ascii="Arial" w:hAnsi="Arial" w:eastAsia="Garamond" w:cs="Arial"/>
          <w:sz w:val="10"/>
          <w:szCs w:val="10"/>
          <w:lang w:val="uk-UA"/>
        </w:rPr>
      </w:pPr>
      <w:r>
        <w:rPr>
          <w:rFonts w:eastAsia="Garamond" w:cs="Arial" w:ascii="Arial" w:hAnsi="Arial"/>
          <w:sz w:val="10"/>
          <w:szCs w:val="10"/>
          <w:lang w:val="uk-UA"/>
        </w:rPr>
      </w:r>
    </w:p>
    <w:tbl>
      <w:tblPr>
        <w:tblW w:w="9374" w:type="dxa"/>
        <w:jc w:val="left"/>
        <w:tblInd w:w="108" w:type="dxa"/>
        <w:tblCellMar>
          <w:top w:w="0" w:type="dxa"/>
          <w:left w:w="108" w:type="dxa"/>
          <w:bottom w:w="0" w:type="dxa"/>
          <w:right w:w="108" w:type="dxa"/>
        </w:tblCellMar>
        <w:tblLook w:firstRow="1" w:noVBand="0" w:lastRow="1" w:firstColumn="1" w:lastColumn="1" w:noHBand="0" w:val="01e0"/>
      </w:tblPr>
      <w:tblGrid>
        <w:gridCol w:w="3827"/>
        <w:gridCol w:w="1560"/>
        <w:gridCol w:w="282"/>
        <w:gridCol w:w="1938"/>
        <w:gridCol w:w="235"/>
        <w:gridCol w:w="1531"/>
      </w:tblGrid>
      <w:tr>
        <w:trPr>
          <w:trHeight w:val="20" w:hRule="atLeast"/>
        </w:trPr>
        <w:tc>
          <w:tcPr>
            <w:tcW w:w="3827" w:type="dxa"/>
            <w:tcBorders/>
          </w:tcPr>
          <w:p>
            <w:pPr>
              <w:pStyle w:val="Normal"/>
              <w:spacing w:lineRule="auto" w:line="240" w:before="0" w:after="0"/>
              <w:ind w:left="-108" w:hanging="0"/>
              <w:rPr>
                <w:rFonts w:ascii="Arial" w:hAnsi="Arial" w:eastAsia="Garamond" w:cs="Arial"/>
                <w:lang w:val="uk-UA"/>
              </w:rPr>
            </w:pPr>
            <w:r>
              <w:rPr>
                <w:rFonts w:eastAsia="Garamond" w:cs="Arial" w:ascii="Arial" w:hAnsi="Arial"/>
                <w:b/>
                <w:bCs/>
                <w:lang w:val="uk-UA"/>
              </w:rPr>
              <w:t>Фінансові активи</w:t>
            </w:r>
          </w:p>
        </w:tc>
        <w:tc>
          <w:tcPr>
            <w:tcW w:w="1560" w:type="dxa"/>
            <w:tcBorders/>
          </w:tcPr>
          <w:p>
            <w:pPr>
              <w:pStyle w:val="Normal"/>
              <w:spacing w:lineRule="auto" w:line="240" w:before="0" w:after="0"/>
              <w:jc w:val="center"/>
              <w:rPr>
                <w:rFonts w:ascii="Arial" w:hAnsi="Arial" w:eastAsia="Garamond" w:cs="Arial"/>
                <w:lang w:val="uk-UA"/>
              </w:rPr>
            </w:pPr>
            <w:r>
              <w:rPr>
                <w:rFonts w:eastAsia="Garamond" w:cs="Arial" w:ascii="Arial" w:hAnsi="Arial"/>
                <w:b/>
                <w:bCs/>
                <w:lang w:val="uk-UA"/>
              </w:rPr>
              <w:t>Гривня</w:t>
            </w:r>
          </w:p>
        </w:tc>
        <w:tc>
          <w:tcPr>
            <w:tcW w:w="282" w:type="dxa"/>
            <w:tcBorders/>
          </w:tcPr>
          <w:p>
            <w:pPr>
              <w:pStyle w:val="Normal"/>
              <w:spacing w:lineRule="auto" w:line="240" w:before="0" w:after="0"/>
              <w:jc w:val="center"/>
              <w:rPr>
                <w:rFonts w:ascii="Arial" w:hAnsi="Arial" w:cs="Arial"/>
                <w:lang w:val="uk-UA"/>
              </w:rPr>
            </w:pPr>
            <w:r>
              <w:rPr>
                <w:rFonts w:cs="Arial" w:ascii="Arial" w:hAnsi="Arial"/>
                <w:lang w:val="uk-UA"/>
              </w:rPr>
            </w:r>
          </w:p>
        </w:tc>
        <w:tc>
          <w:tcPr>
            <w:tcW w:w="1938" w:type="dxa"/>
            <w:tcBorders/>
          </w:tcPr>
          <w:p>
            <w:pPr>
              <w:pStyle w:val="Normal"/>
              <w:spacing w:lineRule="auto" w:line="240" w:before="0" w:after="0"/>
              <w:jc w:val="center"/>
              <w:rPr>
                <w:rFonts w:ascii="Arial" w:hAnsi="Arial" w:eastAsia="Garamond" w:cs="Arial"/>
                <w:lang w:val="uk-UA"/>
              </w:rPr>
            </w:pPr>
            <w:r>
              <w:rPr>
                <w:rFonts w:eastAsia="Garamond" w:cs="Arial" w:ascii="Arial" w:hAnsi="Arial"/>
                <w:b/>
                <w:bCs/>
                <w:lang w:val="uk-UA"/>
              </w:rPr>
              <w:t>Валюта (долар, євро)</w:t>
            </w:r>
          </w:p>
        </w:tc>
        <w:tc>
          <w:tcPr>
            <w:tcW w:w="235" w:type="dxa"/>
            <w:tcBorders/>
          </w:tcPr>
          <w:p>
            <w:pPr>
              <w:pStyle w:val="Normal"/>
              <w:spacing w:lineRule="auto" w:line="240" w:before="0" w:after="0"/>
              <w:jc w:val="center"/>
              <w:rPr>
                <w:rFonts w:ascii="Arial" w:hAnsi="Arial" w:eastAsia="Garamond" w:cs="Arial"/>
                <w:lang w:val="uk-UA"/>
              </w:rPr>
            </w:pPr>
            <w:r>
              <w:rPr>
                <w:rFonts w:eastAsia="Garamond" w:cs="Arial" w:ascii="Arial" w:hAnsi="Arial"/>
                <w:lang w:val="uk-UA"/>
              </w:rPr>
            </w:r>
          </w:p>
        </w:tc>
        <w:tc>
          <w:tcPr>
            <w:tcW w:w="1531" w:type="dxa"/>
            <w:tcBorders>
              <w:bottom w:val="single" w:sz="4" w:space="0" w:color="000000"/>
            </w:tcBorders>
          </w:tcPr>
          <w:p>
            <w:pPr>
              <w:pStyle w:val="Normal"/>
              <w:spacing w:lineRule="auto" w:line="240" w:before="0" w:after="0"/>
              <w:jc w:val="center"/>
              <w:rPr>
                <w:rFonts w:ascii="Arial" w:hAnsi="Arial" w:eastAsia="Garamond" w:cs="Arial"/>
                <w:lang w:val="uk-UA"/>
              </w:rPr>
            </w:pPr>
            <w:r>
              <w:rPr>
                <w:rFonts w:eastAsia="Garamond" w:cs="Arial" w:ascii="Arial" w:hAnsi="Arial"/>
                <w:b/>
                <w:bCs/>
                <w:lang w:val="uk-UA"/>
              </w:rPr>
              <w:t>Всього</w:t>
            </w:r>
          </w:p>
        </w:tc>
      </w:tr>
      <w:tr>
        <w:trPr>
          <w:trHeight w:val="20" w:hRule="atLeast"/>
        </w:trPr>
        <w:tc>
          <w:tcPr>
            <w:tcW w:w="3827" w:type="dxa"/>
            <w:tcBorders/>
          </w:tcPr>
          <w:p>
            <w:pPr>
              <w:pStyle w:val="Normal"/>
              <w:spacing w:lineRule="auto" w:line="240" w:before="0" w:after="0"/>
              <w:ind w:left="-108" w:hanging="0"/>
              <w:rPr>
                <w:rFonts w:ascii="Arial" w:hAnsi="Arial" w:eastAsia="Garamond" w:cs="Arial"/>
                <w:lang w:val="uk-UA"/>
              </w:rPr>
            </w:pPr>
            <w:r>
              <w:rPr>
                <w:rFonts w:eastAsia="Garamond" w:cs="Arial" w:ascii="Arial" w:hAnsi="Arial"/>
                <w:lang w:val="uk-UA"/>
              </w:rPr>
              <w:t>Торгова та інша дебіторська заборгованість</w:t>
            </w:r>
          </w:p>
        </w:tc>
        <w:tc>
          <w:tcPr>
            <w:tcW w:w="1560" w:type="dxa"/>
            <w:tcBorders>
              <w:top w:val="single" w:sz="4" w:space="0" w:color="000000"/>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237,989</w:t>
            </w:r>
          </w:p>
        </w:tc>
        <w:tc>
          <w:tcPr>
            <w:tcW w:w="282" w:type="dxa"/>
            <w:tcBorders/>
            <w:vAlign w:val="center"/>
          </w:tcPr>
          <w:p>
            <w:pPr>
              <w:pStyle w:val="Normal"/>
              <w:spacing w:lineRule="auto" w:line="240" w:before="0" w:after="0"/>
              <w:jc w:val="right"/>
              <w:rPr>
                <w:rFonts w:ascii="Arial" w:hAnsi="Arial" w:cs="Arial"/>
                <w:lang w:val="uk-UA"/>
              </w:rPr>
            </w:pPr>
            <w:r>
              <w:rPr>
                <w:rFonts w:cs="Arial" w:ascii="Arial" w:hAnsi="Arial"/>
                <w:lang w:val="uk-UA"/>
              </w:rPr>
            </w:r>
          </w:p>
        </w:tc>
        <w:tc>
          <w:tcPr>
            <w:tcW w:w="1938" w:type="dxa"/>
            <w:tcBorders>
              <w:top w:val="single" w:sz="4" w:space="0" w:color="000000"/>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r>
          </w:p>
        </w:tc>
        <w:tc>
          <w:tcPr>
            <w:tcW w:w="235" w:type="dxa"/>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r>
          </w:p>
        </w:tc>
        <w:tc>
          <w:tcPr>
            <w:tcW w:w="1531" w:type="dxa"/>
            <w:tcBorders>
              <w:top w:val="single" w:sz="4" w:space="0" w:color="000000"/>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237,989</w:t>
            </w:r>
          </w:p>
        </w:tc>
      </w:tr>
      <w:tr>
        <w:trPr>
          <w:trHeight w:val="20" w:hRule="atLeast"/>
        </w:trPr>
        <w:tc>
          <w:tcPr>
            <w:tcW w:w="3827" w:type="dxa"/>
            <w:tcBorders/>
          </w:tcPr>
          <w:p>
            <w:pPr>
              <w:pStyle w:val="Normal"/>
              <w:spacing w:lineRule="auto" w:line="240" w:before="0" w:after="0"/>
              <w:ind w:left="-108" w:hanging="0"/>
              <w:rPr>
                <w:rFonts w:ascii="Arial" w:hAnsi="Arial" w:eastAsia="Garamond" w:cs="Arial"/>
                <w:lang w:val="uk-UA"/>
              </w:rPr>
            </w:pPr>
            <w:r>
              <w:rPr>
                <w:rFonts w:eastAsia="Garamond" w:cs="Arial" w:ascii="Arial" w:hAnsi="Arial"/>
                <w:lang w:val="uk-UA"/>
              </w:rPr>
              <w:t>Державні дотації до отримання</w:t>
            </w:r>
          </w:p>
        </w:tc>
        <w:tc>
          <w:tcPr>
            <w:tcW w:w="1560" w:type="dxa"/>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1,793</w:t>
            </w:r>
          </w:p>
        </w:tc>
        <w:tc>
          <w:tcPr>
            <w:tcW w:w="282" w:type="dxa"/>
            <w:tcBorders/>
            <w:vAlign w:val="center"/>
          </w:tcPr>
          <w:p>
            <w:pPr>
              <w:pStyle w:val="Normal"/>
              <w:spacing w:lineRule="auto" w:line="240" w:before="0" w:after="0"/>
              <w:jc w:val="right"/>
              <w:rPr>
                <w:rFonts w:ascii="Arial" w:hAnsi="Arial" w:cs="Arial"/>
                <w:lang w:val="uk-UA"/>
              </w:rPr>
            </w:pPr>
            <w:r>
              <w:rPr>
                <w:rFonts w:cs="Arial" w:ascii="Arial" w:hAnsi="Arial"/>
                <w:lang w:val="uk-UA"/>
              </w:rPr>
            </w:r>
          </w:p>
        </w:tc>
        <w:tc>
          <w:tcPr>
            <w:tcW w:w="1938" w:type="dxa"/>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r>
          </w:p>
        </w:tc>
        <w:tc>
          <w:tcPr>
            <w:tcW w:w="235" w:type="dxa"/>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r>
          </w:p>
        </w:tc>
        <w:tc>
          <w:tcPr>
            <w:tcW w:w="1531" w:type="dxa"/>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1,793</w:t>
            </w:r>
          </w:p>
        </w:tc>
      </w:tr>
      <w:tr>
        <w:trPr>
          <w:trHeight w:val="20" w:hRule="atLeast"/>
        </w:trPr>
        <w:tc>
          <w:tcPr>
            <w:tcW w:w="3827" w:type="dxa"/>
            <w:vMerge w:val="restart"/>
            <w:tcBorders/>
          </w:tcPr>
          <w:p>
            <w:pPr>
              <w:pStyle w:val="Normal"/>
              <w:spacing w:lineRule="auto" w:line="240" w:before="0" w:after="0"/>
              <w:ind w:left="-108" w:hanging="0"/>
              <w:rPr>
                <w:rFonts w:ascii="Arial" w:hAnsi="Arial" w:eastAsia="Garamond" w:cs="Arial"/>
                <w:lang w:val="uk-UA"/>
              </w:rPr>
            </w:pPr>
            <w:r>
              <w:rPr>
                <w:rFonts w:eastAsia="Garamond" w:cs="Arial" w:ascii="Arial" w:hAnsi="Arial"/>
                <w:lang w:val="uk-UA"/>
              </w:rPr>
              <w:t>Грошові кошти та їх еквіваленти</w:t>
            </w:r>
          </w:p>
        </w:tc>
        <w:tc>
          <w:tcPr>
            <w:tcW w:w="1560" w:type="dxa"/>
            <w:tcBorders>
              <w:bottom w:val="single" w:sz="4" w:space="0" w:color="000000"/>
            </w:tcBorders>
            <w:vAlign w:val="center"/>
          </w:tcPr>
          <w:p>
            <w:pPr>
              <w:pStyle w:val="Normal"/>
              <w:tabs>
                <w:tab w:val="clear" w:pos="720"/>
                <w:tab w:val="left" w:pos="880" w:leader="none"/>
                <w:tab w:val="left" w:pos="1500" w:leader="none"/>
              </w:tabs>
              <w:spacing w:lineRule="auto" w:line="240" w:before="0" w:after="0"/>
              <w:jc w:val="right"/>
              <w:rPr>
                <w:rFonts w:ascii="Arial" w:hAnsi="Arial" w:eastAsia="Garamond" w:cs="Arial"/>
                <w:lang w:val="uk-UA"/>
              </w:rPr>
            </w:pPr>
            <w:r>
              <w:rPr>
                <w:rFonts w:eastAsia="Garamond" w:cs="Arial" w:ascii="Arial" w:hAnsi="Arial"/>
                <w:lang w:val="uk-UA"/>
              </w:rPr>
              <w:t>3,771</w:t>
            </w:r>
          </w:p>
        </w:tc>
        <w:tc>
          <w:tcPr>
            <w:tcW w:w="282" w:type="dxa"/>
            <w:tcBorders/>
            <w:vAlign w:val="center"/>
          </w:tcPr>
          <w:p>
            <w:pPr>
              <w:pStyle w:val="Normal"/>
              <w:spacing w:lineRule="auto" w:line="240" w:before="0" w:after="0"/>
              <w:jc w:val="right"/>
              <w:rPr>
                <w:rFonts w:ascii="Arial" w:hAnsi="Arial" w:cs="Arial"/>
                <w:lang w:val="uk-UA"/>
              </w:rPr>
            </w:pPr>
            <w:r>
              <w:rPr>
                <w:rFonts w:cs="Arial" w:ascii="Arial" w:hAnsi="Arial"/>
                <w:lang w:val="uk-UA"/>
              </w:rPr>
            </w:r>
          </w:p>
        </w:tc>
        <w:tc>
          <w:tcPr>
            <w:tcW w:w="1938" w:type="dxa"/>
            <w:tcBorders>
              <w:bottom w:val="single" w:sz="4" w:space="0" w:color="000000"/>
            </w:tcBorders>
            <w:vAlign w:val="center"/>
          </w:tcPr>
          <w:p>
            <w:pPr>
              <w:pStyle w:val="Normal"/>
              <w:tabs>
                <w:tab w:val="clear" w:pos="720"/>
                <w:tab w:val="left" w:pos="880" w:leader="none"/>
                <w:tab w:val="left" w:pos="1500" w:leader="none"/>
              </w:tabs>
              <w:spacing w:lineRule="auto" w:line="240" w:before="0" w:after="0"/>
              <w:jc w:val="right"/>
              <w:rPr>
                <w:rFonts w:ascii="Arial" w:hAnsi="Arial" w:eastAsia="Garamond" w:cs="Arial"/>
                <w:lang w:val="uk-UA"/>
              </w:rPr>
            </w:pPr>
            <w:r>
              <w:rPr>
                <w:rFonts w:eastAsia="Garamond" w:cs="Arial" w:ascii="Arial" w:hAnsi="Arial"/>
                <w:lang w:val="uk-UA"/>
              </w:rPr>
              <w:t>91,700</w:t>
            </w:r>
          </w:p>
        </w:tc>
        <w:tc>
          <w:tcPr>
            <w:tcW w:w="235" w:type="dxa"/>
            <w:tcBorders/>
            <w:vAlign w:val="center"/>
          </w:tcPr>
          <w:p>
            <w:pPr>
              <w:pStyle w:val="Normal"/>
              <w:spacing w:lineRule="auto" w:line="240" w:before="0" w:after="0"/>
              <w:jc w:val="right"/>
              <w:rPr>
                <w:rFonts w:ascii="Arial" w:hAnsi="Arial" w:cs="Arial"/>
                <w:lang w:val="uk-UA"/>
              </w:rPr>
            </w:pPr>
            <w:r>
              <w:rPr>
                <w:rFonts w:cs="Arial" w:ascii="Arial" w:hAnsi="Arial"/>
                <w:lang w:val="uk-UA"/>
              </w:rPr>
            </w:r>
          </w:p>
        </w:tc>
        <w:tc>
          <w:tcPr>
            <w:tcW w:w="1531" w:type="dxa"/>
            <w:tcBorders>
              <w:bottom w:val="single" w:sz="4" w:space="0" w:color="000000"/>
            </w:tcBorders>
            <w:vAlign w:val="center"/>
          </w:tcPr>
          <w:p>
            <w:pPr>
              <w:pStyle w:val="Normal"/>
              <w:tabs>
                <w:tab w:val="clear" w:pos="720"/>
                <w:tab w:val="left" w:pos="880" w:leader="none"/>
                <w:tab w:val="left" w:pos="1500" w:leader="none"/>
              </w:tabs>
              <w:spacing w:lineRule="auto" w:line="240" w:before="0" w:after="0"/>
              <w:jc w:val="right"/>
              <w:rPr>
                <w:rFonts w:ascii="Arial" w:hAnsi="Arial" w:eastAsia="Garamond" w:cs="Arial"/>
                <w:lang w:val="uk-UA"/>
              </w:rPr>
            </w:pPr>
            <w:r>
              <w:rPr>
                <w:rFonts w:eastAsia="Garamond" w:cs="Arial" w:ascii="Arial" w:hAnsi="Arial"/>
                <w:lang w:val="uk-UA"/>
              </w:rPr>
              <w:t>95,471</w:t>
            </w:r>
          </w:p>
        </w:tc>
      </w:tr>
      <w:tr>
        <w:trPr>
          <w:trHeight w:val="20" w:hRule="atLeast"/>
        </w:trPr>
        <w:tc>
          <w:tcPr>
            <w:tcW w:w="3827" w:type="dxa"/>
            <w:vMerge w:val="continue"/>
            <w:tcBorders/>
          </w:tcPr>
          <w:p>
            <w:pPr>
              <w:pStyle w:val="Normal"/>
              <w:spacing w:lineRule="auto" w:line="240" w:before="0" w:after="0"/>
              <w:ind w:left="-108" w:hanging="0"/>
              <w:rPr>
                <w:rFonts w:ascii="Arial" w:hAnsi="Arial" w:cs="Arial"/>
                <w:lang w:val="uk-UA"/>
              </w:rPr>
            </w:pPr>
            <w:r>
              <w:rPr>
                <w:rFonts w:cs="Arial" w:ascii="Arial" w:hAnsi="Arial"/>
                <w:lang w:val="uk-UA"/>
              </w:rPr>
            </w:r>
          </w:p>
        </w:tc>
        <w:tc>
          <w:tcPr>
            <w:tcW w:w="1560" w:type="dxa"/>
            <w:tcBorders>
              <w:top w:val="single" w:sz="4" w:space="0" w:color="000000"/>
              <w:bottom w:val="double" w:sz="4" w:space="0" w:color="000000"/>
            </w:tcBorders>
            <w:vAlign w:val="center"/>
          </w:tcPr>
          <w:p>
            <w:pPr>
              <w:pStyle w:val="Normal"/>
              <w:spacing w:lineRule="auto" w:line="240" w:before="0" w:after="0"/>
              <w:jc w:val="right"/>
              <w:rPr>
                <w:rFonts w:ascii="Arial" w:hAnsi="Arial" w:eastAsia="Garamond" w:cs="Arial"/>
                <w:b/>
                <w:b/>
                <w:lang w:val="uk-UA"/>
              </w:rPr>
            </w:pPr>
            <w:r>
              <w:rPr>
                <w:rFonts w:eastAsia="Garamond" w:cs="Arial" w:ascii="Arial" w:hAnsi="Arial"/>
                <w:b/>
                <w:lang w:val="uk-UA"/>
              </w:rPr>
              <w:t>243,553</w:t>
            </w:r>
          </w:p>
        </w:tc>
        <w:tc>
          <w:tcPr>
            <w:tcW w:w="282" w:type="dxa"/>
            <w:tcBorders/>
            <w:vAlign w:val="center"/>
          </w:tcPr>
          <w:p>
            <w:pPr>
              <w:pStyle w:val="Normal"/>
              <w:spacing w:lineRule="auto" w:line="240" w:before="0" w:after="0"/>
              <w:jc w:val="right"/>
              <w:rPr>
                <w:rFonts w:ascii="Arial" w:hAnsi="Arial" w:cs="Arial"/>
                <w:b/>
                <w:b/>
                <w:lang w:val="uk-UA"/>
              </w:rPr>
            </w:pPr>
            <w:r>
              <w:rPr>
                <w:rFonts w:cs="Arial" w:ascii="Arial" w:hAnsi="Arial"/>
                <w:b/>
                <w:lang w:val="uk-UA"/>
              </w:rPr>
            </w:r>
          </w:p>
        </w:tc>
        <w:tc>
          <w:tcPr>
            <w:tcW w:w="1938" w:type="dxa"/>
            <w:tcBorders>
              <w:top w:val="single" w:sz="4" w:space="0" w:color="000000"/>
              <w:bottom w:val="double" w:sz="4" w:space="0" w:color="000000"/>
            </w:tcBorders>
            <w:vAlign w:val="center"/>
          </w:tcPr>
          <w:p>
            <w:pPr>
              <w:pStyle w:val="Normal"/>
              <w:spacing w:lineRule="auto" w:line="240" w:before="0" w:after="0"/>
              <w:jc w:val="right"/>
              <w:rPr>
                <w:rFonts w:ascii="Arial" w:hAnsi="Arial" w:eastAsia="Garamond" w:cs="Arial"/>
                <w:b/>
                <w:b/>
                <w:lang w:val="uk-UA"/>
              </w:rPr>
            </w:pPr>
            <w:r>
              <w:rPr>
                <w:rFonts w:eastAsia="Garamond" w:cs="Arial" w:ascii="Arial" w:hAnsi="Arial"/>
                <w:b/>
                <w:lang w:val="uk-UA"/>
              </w:rPr>
              <w:t>91,700</w:t>
            </w:r>
          </w:p>
        </w:tc>
        <w:tc>
          <w:tcPr>
            <w:tcW w:w="235" w:type="dxa"/>
            <w:tcBorders/>
            <w:vAlign w:val="center"/>
          </w:tcPr>
          <w:p>
            <w:pPr>
              <w:pStyle w:val="Normal"/>
              <w:spacing w:lineRule="auto" w:line="240" w:before="0" w:after="0"/>
              <w:jc w:val="right"/>
              <w:rPr>
                <w:rFonts w:ascii="Arial" w:hAnsi="Arial" w:cs="Arial"/>
                <w:b/>
                <w:b/>
                <w:lang w:val="uk-UA"/>
              </w:rPr>
            </w:pPr>
            <w:r>
              <w:rPr>
                <w:rFonts w:cs="Arial" w:ascii="Arial" w:hAnsi="Arial"/>
                <w:b/>
                <w:lang w:val="uk-UA"/>
              </w:rPr>
            </w:r>
          </w:p>
        </w:tc>
        <w:tc>
          <w:tcPr>
            <w:tcW w:w="1531" w:type="dxa"/>
            <w:tcBorders>
              <w:top w:val="single" w:sz="4" w:space="0" w:color="000000"/>
              <w:bottom w:val="double" w:sz="4" w:space="0" w:color="000000"/>
            </w:tcBorders>
            <w:vAlign w:val="center"/>
          </w:tcPr>
          <w:p>
            <w:pPr>
              <w:pStyle w:val="Normal"/>
              <w:spacing w:lineRule="auto" w:line="240" w:before="0" w:after="0"/>
              <w:jc w:val="right"/>
              <w:rPr>
                <w:rFonts w:ascii="Arial" w:hAnsi="Arial" w:eastAsia="Garamond" w:cs="Arial"/>
                <w:b/>
                <w:b/>
                <w:lang w:val="uk-UA"/>
              </w:rPr>
            </w:pPr>
            <w:r>
              <w:rPr>
                <w:rFonts w:eastAsia="Garamond" w:cs="Arial" w:ascii="Arial" w:hAnsi="Arial"/>
                <w:b/>
                <w:lang w:val="uk-UA"/>
              </w:rPr>
              <w:t>335,253</w:t>
            </w:r>
          </w:p>
        </w:tc>
      </w:tr>
      <w:tr>
        <w:trPr>
          <w:trHeight w:val="20" w:hRule="atLeast"/>
        </w:trPr>
        <w:tc>
          <w:tcPr>
            <w:tcW w:w="3827" w:type="dxa"/>
            <w:tcBorders/>
          </w:tcPr>
          <w:p>
            <w:pPr>
              <w:pStyle w:val="Normal"/>
              <w:spacing w:lineRule="auto" w:line="240" w:before="0" w:after="0"/>
              <w:ind w:left="-108" w:hanging="0"/>
              <w:rPr>
                <w:rFonts w:ascii="Arial" w:hAnsi="Arial" w:eastAsia="Garamond" w:cs="Arial"/>
                <w:lang w:val="uk-UA"/>
              </w:rPr>
            </w:pPr>
            <w:r>
              <w:rPr>
                <w:rFonts w:eastAsia="Garamond" w:cs="Arial" w:ascii="Arial" w:hAnsi="Arial"/>
                <w:b/>
                <w:bCs/>
                <w:lang w:val="uk-UA"/>
              </w:rPr>
              <w:t>Фінансові зобов'язання</w:t>
            </w:r>
          </w:p>
        </w:tc>
        <w:tc>
          <w:tcPr>
            <w:tcW w:w="1560" w:type="dxa"/>
            <w:tcBorders>
              <w:bottom w:val="single" w:sz="4" w:space="0" w:color="000000"/>
            </w:tcBorders>
            <w:vAlign w:val="center"/>
          </w:tcPr>
          <w:p>
            <w:pPr>
              <w:pStyle w:val="Normal"/>
              <w:spacing w:lineRule="auto" w:line="240" w:before="0" w:after="0"/>
              <w:jc w:val="center"/>
              <w:rPr>
                <w:rFonts w:ascii="Arial" w:hAnsi="Arial" w:eastAsia="Garamond" w:cs="Arial"/>
                <w:lang w:val="uk-UA"/>
              </w:rPr>
            </w:pPr>
            <w:r>
              <w:rPr>
                <w:rFonts w:eastAsia="Garamond" w:cs="Arial" w:ascii="Arial" w:hAnsi="Arial"/>
                <w:lang w:val="uk-UA"/>
              </w:rPr>
            </w:r>
          </w:p>
        </w:tc>
        <w:tc>
          <w:tcPr>
            <w:tcW w:w="282" w:type="dxa"/>
            <w:tcBorders/>
            <w:vAlign w:val="center"/>
          </w:tcPr>
          <w:p>
            <w:pPr>
              <w:pStyle w:val="Normal"/>
              <w:spacing w:lineRule="auto" w:line="240" w:before="0" w:after="0"/>
              <w:jc w:val="center"/>
              <w:rPr>
                <w:rFonts w:ascii="Arial" w:hAnsi="Arial" w:cs="Arial"/>
                <w:lang w:val="uk-UA"/>
              </w:rPr>
            </w:pPr>
            <w:r>
              <w:rPr>
                <w:rFonts w:cs="Arial" w:ascii="Arial" w:hAnsi="Arial"/>
                <w:lang w:val="uk-UA"/>
              </w:rPr>
            </w:r>
          </w:p>
        </w:tc>
        <w:tc>
          <w:tcPr>
            <w:tcW w:w="1938" w:type="dxa"/>
            <w:tcBorders>
              <w:bottom w:val="single" w:sz="4" w:space="0" w:color="000000"/>
            </w:tcBorders>
            <w:vAlign w:val="center"/>
          </w:tcPr>
          <w:p>
            <w:pPr>
              <w:pStyle w:val="Normal"/>
              <w:spacing w:lineRule="auto" w:line="240" w:before="0" w:after="0"/>
              <w:jc w:val="center"/>
              <w:rPr>
                <w:rFonts w:ascii="Arial" w:hAnsi="Arial" w:eastAsia="Garamond" w:cs="Arial"/>
                <w:lang w:val="uk-UA"/>
              </w:rPr>
            </w:pPr>
            <w:r>
              <w:rPr>
                <w:rFonts w:eastAsia="Garamond" w:cs="Arial" w:ascii="Arial" w:hAnsi="Arial"/>
                <w:lang w:val="uk-UA"/>
              </w:rPr>
            </w:r>
          </w:p>
        </w:tc>
        <w:tc>
          <w:tcPr>
            <w:tcW w:w="235" w:type="dxa"/>
            <w:tcBorders/>
            <w:vAlign w:val="center"/>
          </w:tcPr>
          <w:p>
            <w:pPr>
              <w:pStyle w:val="Normal"/>
              <w:spacing w:lineRule="auto" w:line="240" w:before="0" w:after="0"/>
              <w:jc w:val="center"/>
              <w:rPr>
                <w:rFonts w:ascii="Arial" w:hAnsi="Arial" w:cs="Arial"/>
                <w:lang w:val="uk-UA"/>
              </w:rPr>
            </w:pPr>
            <w:r>
              <w:rPr>
                <w:rFonts w:cs="Arial" w:ascii="Arial" w:hAnsi="Arial"/>
                <w:lang w:val="uk-UA"/>
              </w:rPr>
            </w:r>
          </w:p>
        </w:tc>
        <w:tc>
          <w:tcPr>
            <w:tcW w:w="1531" w:type="dxa"/>
            <w:tcBorders>
              <w:top w:val="double" w:sz="4" w:space="0" w:color="000000"/>
              <w:bottom w:val="single" w:sz="4" w:space="0" w:color="000000"/>
            </w:tcBorders>
            <w:vAlign w:val="center"/>
          </w:tcPr>
          <w:p>
            <w:pPr>
              <w:pStyle w:val="Normal"/>
              <w:spacing w:lineRule="auto" w:line="240" w:before="0" w:after="0"/>
              <w:jc w:val="center"/>
              <w:rPr>
                <w:rFonts w:ascii="Arial" w:hAnsi="Arial" w:eastAsia="Garamond" w:cs="Arial"/>
                <w:lang w:val="uk-UA"/>
              </w:rPr>
            </w:pPr>
            <w:r>
              <w:rPr>
                <w:rFonts w:eastAsia="Garamond" w:cs="Arial" w:ascii="Arial" w:hAnsi="Arial"/>
                <w:lang w:val="uk-UA"/>
              </w:rPr>
            </w:r>
          </w:p>
        </w:tc>
      </w:tr>
      <w:tr>
        <w:trPr>
          <w:trHeight w:val="20" w:hRule="atLeast"/>
        </w:trPr>
        <w:tc>
          <w:tcPr>
            <w:tcW w:w="3827" w:type="dxa"/>
            <w:tcBorders/>
          </w:tcPr>
          <w:p>
            <w:pPr>
              <w:pStyle w:val="Normal"/>
              <w:spacing w:lineRule="auto" w:line="240" w:before="0" w:after="0"/>
              <w:ind w:left="-108" w:hanging="0"/>
              <w:rPr>
                <w:rFonts w:ascii="Arial" w:hAnsi="Arial" w:eastAsia="Garamond" w:cs="Arial"/>
                <w:lang w:val="uk-UA"/>
              </w:rPr>
            </w:pPr>
            <w:r>
              <w:rPr>
                <w:rFonts w:eastAsia="Garamond" w:cs="Arial" w:ascii="Arial" w:hAnsi="Arial"/>
                <w:lang w:val="uk-UA"/>
              </w:rPr>
              <w:t>Кредити та запозичення</w:t>
            </w:r>
          </w:p>
        </w:tc>
        <w:tc>
          <w:tcPr>
            <w:tcW w:w="1560" w:type="dxa"/>
            <w:tcBorders>
              <w:top w:val="single" w:sz="4" w:space="0" w:color="000000"/>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w:t>
            </w:r>
          </w:p>
        </w:tc>
        <w:tc>
          <w:tcPr>
            <w:tcW w:w="282" w:type="dxa"/>
            <w:tcBorders/>
            <w:vAlign w:val="center"/>
          </w:tcPr>
          <w:p>
            <w:pPr>
              <w:pStyle w:val="Normal"/>
              <w:spacing w:lineRule="auto" w:line="240" w:before="0" w:after="0"/>
              <w:jc w:val="right"/>
              <w:rPr>
                <w:rFonts w:ascii="Arial" w:hAnsi="Arial" w:cs="Arial"/>
                <w:lang w:val="uk-UA"/>
              </w:rPr>
            </w:pPr>
            <w:r>
              <w:rPr>
                <w:rFonts w:cs="Arial" w:ascii="Arial" w:hAnsi="Arial"/>
                <w:lang w:val="uk-UA"/>
              </w:rPr>
            </w:r>
          </w:p>
        </w:tc>
        <w:tc>
          <w:tcPr>
            <w:tcW w:w="1938" w:type="dxa"/>
            <w:tcBorders>
              <w:top w:val="single" w:sz="4" w:space="0" w:color="000000"/>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(292,483)</w:t>
            </w:r>
          </w:p>
        </w:tc>
        <w:tc>
          <w:tcPr>
            <w:tcW w:w="235" w:type="dxa"/>
            <w:tcBorders/>
            <w:vAlign w:val="center"/>
          </w:tcPr>
          <w:p>
            <w:pPr>
              <w:pStyle w:val="Normal"/>
              <w:spacing w:lineRule="auto" w:line="240" w:before="0" w:after="0"/>
              <w:jc w:val="right"/>
              <w:rPr>
                <w:rFonts w:ascii="Arial" w:hAnsi="Arial" w:cs="Arial"/>
                <w:lang w:val="uk-UA"/>
              </w:rPr>
            </w:pPr>
            <w:r>
              <w:rPr>
                <w:rFonts w:cs="Arial" w:ascii="Arial" w:hAnsi="Arial"/>
                <w:lang w:val="uk-UA"/>
              </w:rPr>
            </w:r>
          </w:p>
        </w:tc>
        <w:tc>
          <w:tcPr>
            <w:tcW w:w="1531" w:type="dxa"/>
            <w:tcBorders>
              <w:top w:val="single" w:sz="4" w:space="0" w:color="000000"/>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(292,483)</w:t>
            </w:r>
          </w:p>
        </w:tc>
      </w:tr>
      <w:tr>
        <w:trPr>
          <w:trHeight w:val="20" w:hRule="atLeast"/>
        </w:trPr>
        <w:tc>
          <w:tcPr>
            <w:tcW w:w="3827" w:type="dxa"/>
            <w:tcBorders/>
          </w:tcPr>
          <w:p>
            <w:pPr>
              <w:pStyle w:val="Normal"/>
              <w:spacing w:lineRule="auto" w:line="240" w:before="0" w:after="0"/>
              <w:ind w:left="-108" w:hanging="0"/>
              <w:rPr>
                <w:rFonts w:ascii="Arial" w:hAnsi="Arial" w:eastAsia="Garamond" w:cs="Arial"/>
                <w:lang w:val="uk-UA"/>
              </w:rPr>
            </w:pPr>
            <w:r>
              <w:rPr>
                <w:rFonts w:eastAsia="Garamond" w:cs="Arial" w:ascii="Arial" w:hAnsi="Arial"/>
                <w:lang w:val="uk-UA"/>
              </w:rPr>
              <w:t>Торгова та інша кредиторська заборгованість</w:t>
            </w:r>
          </w:p>
        </w:tc>
        <w:tc>
          <w:tcPr>
            <w:tcW w:w="1560" w:type="dxa"/>
            <w:tcBorders>
              <w:bottom w:val="single" w:sz="4" w:space="0" w:color="000000"/>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(414,027)</w:t>
            </w:r>
          </w:p>
        </w:tc>
        <w:tc>
          <w:tcPr>
            <w:tcW w:w="282" w:type="dxa"/>
            <w:tcBorders/>
            <w:vAlign w:val="center"/>
          </w:tcPr>
          <w:p>
            <w:pPr>
              <w:pStyle w:val="Normal"/>
              <w:spacing w:lineRule="auto" w:line="240" w:before="0" w:after="0"/>
              <w:jc w:val="right"/>
              <w:rPr>
                <w:rFonts w:ascii="Arial" w:hAnsi="Arial" w:cs="Arial"/>
                <w:lang w:val="uk-UA"/>
              </w:rPr>
            </w:pPr>
            <w:r>
              <w:rPr>
                <w:rFonts w:cs="Arial" w:ascii="Arial" w:hAnsi="Arial"/>
                <w:lang w:val="uk-UA"/>
              </w:rPr>
            </w:r>
          </w:p>
        </w:tc>
        <w:tc>
          <w:tcPr>
            <w:tcW w:w="1938" w:type="dxa"/>
            <w:tcBorders>
              <w:bottom w:val="single" w:sz="4" w:space="0" w:color="000000"/>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(3,947)</w:t>
            </w:r>
          </w:p>
        </w:tc>
        <w:tc>
          <w:tcPr>
            <w:tcW w:w="235" w:type="dxa"/>
            <w:tcBorders/>
            <w:vAlign w:val="center"/>
          </w:tcPr>
          <w:p>
            <w:pPr>
              <w:pStyle w:val="Normal"/>
              <w:spacing w:lineRule="auto" w:line="240" w:before="0" w:after="0"/>
              <w:jc w:val="right"/>
              <w:rPr>
                <w:rFonts w:ascii="Arial" w:hAnsi="Arial" w:cs="Arial"/>
                <w:lang w:val="uk-UA"/>
              </w:rPr>
            </w:pPr>
            <w:r>
              <w:rPr>
                <w:rFonts w:cs="Arial" w:ascii="Arial" w:hAnsi="Arial"/>
                <w:lang w:val="uk-UA"/>
              </w:rPr>
            </w:r>
          </w:p>
        </w:tc>
        <w:tc>
          <w:tcPr>
            <w:tcW w:w="1531" w:type="dxa"/>
            <w:tcBorders>
              <w:bottom w:val="single" w:sz="4" w:space="0" w:color="000000"/>
            </w:tcBorders>
          </w:tcPr>
          <w:p>
            <w:pPr>
              <w:pStyle w:val="Normal"/>
              <w:spacing w:lineRule="auto" w:line="240" w:before="0" w:after="0"/>
              <w:jc w:val="right"/>
              <w:rPr>
                <w:rFonts w:ascii="Arial" w:hAnsi="Arial" w:eastAsia="Garamond" w:cs="Arial"/>
                <w:lang w:val="uk-UA"/>
              </w:rPr>
            </w:pPr>
            <w:r>
              <w:rPr>
                <w:rFonts w:eastAsia="Garamond" w:cs="Arial" w:ascii="Arial" w:hAnsi="Arial"/>
                <w:lang w:val="uk-UA"/>
              </w:rPr>
              <w:t>(417,974)</w:t>
            </w:r>
          </w:p>
        </w:tc>
      </w:tr>
      <w:tr>
        <w:trPr>
          <w:trHeight w:val="20" w:hRule="atLeast"/>
        </w:trPr>
        <w:tc>
          <w:tcPr>
            <w:tcW w:w="3827" w:type="dxa"/>
            <w:tcBorders/>
          </w:tcPr>
          <w:p>
            <w:pPr>
              <w:pStyle w:val="Normal"/>
              <w:spacing w:lineRule="auto" w:line="240" w:before="0" w:after="0"/>
              <w:ind w:left="-108" w:hanging="0"/>
              <w:jc w:val="right"/>
              <w:rPr>
                <w:rFonts w:ascii="Arial" w:hAnsi="Arial" w:eastAsia="Garamond" w:cs="Arial"/>
                <w:b/>
                <w:b/>
                <w:lang w:val="uk-UA"/>
              </w:rPr>
            </w:pPr>
            <w:r>
              <w:rPr>
                <w:rFonts w:eastAsia="Garamond" w:cs="Arial" w:ascii="Arial" w:hAnsi="Arial"/>
                <w:b/>
                <w:lang w:val="uk-UA"/>
              </w:rPr>
            </w:r>
          </w:p>
        </w:tc>
        <w:tc>
          <w:tcPr>
            <w:tcW w:w="1560" w:type="dxa"/>
            <w:tcBorders>
              <w:top w:val="single" w:sz="4" w:space="0" w:color="000000"/>
              <w:bottom w:val="single" w:sz="4" w:space="0" w:color="000000"/>
            </w:tcBorders>
            <w:vAlign w:val="center"/>
          </w:tcPr>
          <w:p>
            <w:pPr>
              <w:pStyle w:val="Normal"/>
              <w:spacing w:lineRule="auto" w:line="240" w:before="0" w:after="0"/>
              <w:ind w:left="-108" w:hanging="0"/>
              <w:jc w:val="right"/>
              <w:rPr>
                <w:rFonts w:ascii="Arial" w:hAnsi="Arial" w:eastAsia="Garamond" w:cs="Arial"/>
                <w:b/>
                <w:b/>
                <w:lang w:val="uk-UA"/>
              </w:rPr>
            </w:pPr>
            <w:r>
              <w:rPr>
                <w:rFonts w:eastAsia="Garamond" w:cs="Arial" w:ascii="Arial" w:hAnsi="Arial"/>
                <w:b/>
                <w:lang w:val="uk-UA"/>
              </w:rPr>
              <w:t>(414,027)</w:t>
            </w:r>
          </w:p>
        </w:tc>
        <w:tc>
          <w:tcPr>
            <w:tcW w:w="282" w:type="dxa"/>
            <w:tcBorders/>
            <w:vAlign w:val="center"/>
          </w:tcPr>
          <w:p>
            <w:pPr>
              <w:pStyle w:val="Normal"/>
              <w:spacing w:lineRule="auto" w:line="240" w:before="0" w:after="0"/>
              <w:ind w:left="-108" w:hanging="0"/>
              <w:jc w:val="right"/>
              <w:rPr>
                <w:rFonts w:ascii="Arial" w:hAnsi="Arial" w:eastAsia="Garamond" w:cs="Arial"/>
                <w:b/>
                <w:b/>
                <w:lang w:val="uk-UA"/>
              </w:rPr>
            </w:pPr>
            <w:r>
              <w:rPr>
                <w:rFonts w:eastAsia="Garamond" w:cs="Arial" w:ascii="Arial" w:hAnsi="Arial"/>
                <w:b/>
                <w:lang w:val="uk-UA"/>
              </w:rPr>
            </w:r>
          </w:p>
        </w:tc>
        <w:tc>
          <w:tcPr>
            <w:tcW w:w="1938" w:type="dxa"/>
            <w:tcBorders>
              <w:top w:val="single" w:sz="4" w:space="0" w:color="000000"/>
              <w:bottom w:val="single" w:sz="4" w:space="0" w:color="000000"/>
            </w:tcBorders>
            <w:vAlign w:val="center"/>
          </w:tcPr>
          <w:p>
            <w:pPr>
              <w:pStyle w:val="Normal"/>
              <w:spacing w:lineRule="auto" w:line="240" w:before="0" w:after="0"/>
              <w:ind w:left="-108" w:hanging="0"/>
              <w:jc w:val="right"/>
              <w:rPr>
                <w:rFonts w:ascii="Arial" w:hAnsi="Arial" w:eastAsia="Garamond" w:cs="Arial"/>
                <w:b/>
                <w:b/>
                <w:lang w:val="uk-UA"/>
              </w:rPr>
            </w:pPr>
            <w:r>
              <w:rPr>
                <w:rFonts w:eastAsia="Garamond" w:cs="Arial" w:ascii="Arial" w:hAnsi="Arial"/>
                <w:b/>
                <w:lang w:val="uk-UA"/>
              </w:rPr>
              <w:t>(296,430)</w:t>
            </w:r>
          </w:p>
        </w:tc>
        <w:tc>
          <w:tcPr>
            <w:tcW w:w="235" w:type="dxa"/>
            <w:tcBorders/>
            <w:vAlign w:val="center"/>
          </w:tcPr>
          <w:p>
            <w:pPr>
              <w:pStyle w:val="Normal"/>
              <w:spacing w:lineRule="auto" w:line="240" w:before="0" w:after="0"/>
              <w:ind w:left="-108" w:hanging="0"/>
              <w:jc w:val="right"/>
              <w:rPr>
                <w:rFonts w:ascii="Arial" w:hAnsi="Arial" w:eastAsia="Garamond" w:cs="Arial"/>
                <w:b/>
                <w:b/>
                <w:lang w:val="uk-UA"/>
              </w:rPr>
            </w:pPr>
            <w:r>
              <w:rPr>
                <w:rFonts w:eastAsia="Garamond" w:cs="Arial" w:ascii="Arial" w:hAnsi="Arial"/>
                <w:b/>
                <w:lang w:val="uk-UA"/>
              </w:rPr>
            </w:r>
          </w:p>
        </w:tc>
        <w:tc>
          <w:tcPr>
            <w:tcW w:w="1531" w:type="dxa"/>
            <w:tcBorders>
              <w:top w:val="single" w:sz="4" w:space="0" w:color="000000"/>
              <w:bottom w:val="single" w:sz="4" w:space="0" w:color="000000"/>
            </w:tcBorders>
          </w:tcPr>
          <w:p>
            <w:pPr>
              <w:pStyle w:val="Normal"/>
              <w:spacing w:lineRule="auto" w:line="240" w:before="0" w:after="0"/>
              <w:ind w:left="-108" w:hanging="0"/>
              <w:jc w:val="right"/>
              <w:rPr>
                <w:rFonts w:ascii="Arial" w:hAnsi="Arial" w:eastAsia="Garamond" w:cs="Arial"/>
                <w:b/>
                <w:b/>
                <w:lang w:val="uk-UA"/>
              </w:rPr>
            </w:pPr>
            <w:r>
              <w:rPr>
                <w:rFonts w:eastAsia="Garamond" w:cs="Arial" w:ascii="Arial" w:hAnsi="Arial"/>
                <w:b/>
                <w:lang w:val="uk-UA"/>
              </w:rPr>
              <w:t>(710,457)</w:t>
            </w:r>
          </w:p>
        </w:tc>
      </w:tr>
      <w:tr>
        <w:trPr>
          <w:trHeight w:val="20" w:hRule="atLeast"/>
        </w:trPr>
        <w:tc>
          <w:tcPr>
            <w:tcW w:w="3827" w:type="dxa"/>
            <w:tcBorders/>
          </w:tcPr>
          <w:p>
            <w:pPr>
              <w:pStyle w:val="Normal"/>
              <w:spacing w:lineRule="auto" w:line="240" w:before="0" w:after="0"/>
              <w:ind w:left="-108" w:hanging="0"/>
              <w:rPr>
                <w:rFonts w:ascii="Arial" w:hAnsi="Arial" w:cs="Arial"/>
                <w:lang w:val="uk-UA"/>
              </w:rPr>
            </w:pPr>
            <w:r>
              <w:rPr>
                <w:rFonts w:eastAsia="Garamond" w:cs="Arial" w:ascii="Arial" w:hAnsi="Arial"/>
                <w:b/>
                <w:bCs/>
                <w:lang w:val="uk-UA"/>
              </w:rPr>
              <w:t>Нетто позиція</w:t>
            </w:r>
          </w:p>
        </w:tc>
        <w:tc>
          <w:tcPr>
            <w:tcW w:w="1560" w:type="dxa"/>
            <w:tcBorders>
              <w:top w:val="single" w:sz="4" w:space="0" w:color="000000"/>
              <w:bottom w:val="double" w:sz="4" w:space="0" w:color="000000"/>
            </w:tcBorders>
            <w:vAlign w:val="center"/>
          </w:tcPr>
          <w:p>
            <w:pPr>
              <w:pStyle w:val="Normal"/>
              <w:spacing w:lineRule="auto" w:line="240" w:before="0" w:after="0"/>
              <w:jc w:val="right"/>
              <w:rPr>
                <w:rFonts w:ascii="Arial" w:hAnsi="Arial" w:eastAsia="Garamond" w:cs="Arial"/>
                <w:b/>
                <w:b/>
                <w:lang w:val="uk-UA"/>
              </w:rPr>
            </w:pPr>
            <w:r>
              <w:rPr>
                <w:rFonts w:eastAsia="Garamond" w:cs="Arial" w:ascii="Arial" w:hAnsi="Arial"/>
                <w:b/>
                <w:lang w:val="uk-UA"/>
              </w:rPr>
              <w:t>(170,474)</w:t>
            </w:r>
          </w:p>
        </w:tc>
        <w:tc>
          <w:tcPr>
            <w:tcW w:w="282" w:type="dxa"/>
            <w:tcBorders/>
            <w:vAlign w:val="center"/>
          </w:tcPr>
          <w:p>
            <w:pPr>
              <w:pStyle w:val="Normal"/>
              <w:spacing w:lineRule="auto" w:line="240" w:before="0" w:after="0"/>
              <w:jc w:val="right"/>
              <w:rPr>
                <w:rFonts w:ascii="Arial" w:hAnsi="Arial" w:cs="Arial"/>
                <w:lang w:val="uk-UA"/>
              </w:rPr>
            </w:pPr>
            <w:r>
              <w:rPr>
                <w:rFonts w:cs="Arial" w:ascii="Arial" w:hAnsi="Arial"/>
                <w:lang w:val="uk-UA"/>
              </w:rPr>
            </w:r>
          </w:p>
        </w:tc>
        <w:tc>
          <w:tcPr>
            <w:tcW w:w="1938" w:type="dxa"/>
            <w:tcBorders>
              <w:top w:val="single" w:sz="4" w:space="0" w:color="000000"/>
              <w:bottom w:val="double" w:sz="4" w:space="0" w:color="000000"/>
            </w:tcBorders>
            <w:vAlign w:val="center"/>
          </w:tcPr>
          <w:p>
            <w:pPr>
              <w:pStyle w:val="Normal"/>
              <w:spacing w:lineRule="auto" w:line="240" w:before="0" w:after="0"/>
              <w:jc w:val="right"/>
              <w:rPr>
                <w:rFonts w:ascii="Arial" w:hAnsi="Arial" w:eastAsia="Garamond" w:cs="Arial"/>
                <w:b/>
                <w:b/>
                <w:lang w:val="uk-UA"/>
              </w:rPr>
            </w:pPr>
            <w:r>
              <w:rPr>
                <w:rFonts w:eastAsia="Garamond" w:cs="Arial" w:ascii="Arial" w:hAnsi="Arial"/>
                <w:b/>
                <w:lang w:val="uk-UA"/>
              </w:rPr>
              <w:t>(204,730)</w:t>
            </w:r>
          </w:p>
        </w:tc>
        <w:tc>
          <w:tcPr>
            <w:tcW w:w="235" w:type="dxa"/>
            <w:tcBorders/>
            <w:vAlign w:val="center"/>
          </w:tcPr>
          <w:p>
            <w:pPr>
              <w:pStyle w:val="Normal"/>
              <w:spacing w:lineRule="auto" w:line="240" w:before="0" w:after="0"/>
              <w:jc w:val="right"/>
              <w:rPr>
                <w:rFonts w:ascii="Arial" w:hAnsi="Arial" w:cs="Arial"/>
                <w:lang w:val="uk-UA"/>
              </w:rPr>
            </w:pPr>
            <w:r>
              <w:rPr>
                <w:rFonts w:cs="Arial" w:ascii="Arial" w:hAnsi="Arial"/>
                <w:lang w:val="uk-UA"/>
              </w:rPr>
            </w:r>
          </w:p>
        </w:tc>
        <w:tc>
          <w:tcPr>
            <w:tcW w:w="1531" w:type="dxa"/>
            <w:tcBorders>
              <w:top w:val="single" w:sz="4" w:space="0" w:color="000000"/>
              <w:bottom w:val="double" w:sz="4" w:space="0" w:color="000000"/>
            </w:tcBorders>
            <w:vAlign w:val="center"/>
          </w:tcPr>
          <w:p>
            <w:pPr>
              <w:pStyle w:val="Normal"/>
              <w:spacing w:lineRule="auto" w:line="240" w:before="0" w:after="0"/>
              <w:jc w:val="right"/>
              <w:rPr>
                <w:rFonts w:ascii="Arial" w:hAnsi="Arial" w:eastAsia="Garamond" w:cs="Arial"/>
                <w:b/>
                <w:b/>
                <w:lang w:val="uk-UA"/>
              </w:rPr>
            </w:pPr>
            <w:r>
              <w:rPr>
                <w:rFonts w:eastAsia="Garamond" w:cs="Arial" w:ascii="Arial" w:hAnsi="Arial"/>
                <w:b/>
                <w:lang w:val="uk-UA"/>
              </w:rPr>
              <w:t>(375,204)</w:t>
            </w:r>
          </w:p>
        </w:tc>
      </w:tr>
    </w:tbl>
    <w:p>
      <w:pPr>
        <w:pStyle w:val="Normal"/>
        <w:spacing w:lineRule="auto" w:line="240" w:before="0" w:after="0"/>
        <w:rPr>
          <w:rFonts w:ascii="Arial" w:hAnsi="Arial" w:cs="Arial"/>
          <w:color w:val="0070C0"/>
          <w:sz w:val="10"/>
          <w:szCs w:val="10"/>
          <w:lang w:val="uk-UA"/>
        </w:rPr>
      </w:pPr>
      <w:r>
        <w:rPr>
          <w:rFonts w:cs="Arial" w:ascii="Arial" w:hAnsi="Arial"/>
          <w:color w:val="0070C0"/>
          <w:sz w:val="10"/>
          <w:szCs w:val="10"/>
          <w:lang w:val="uk-UA"/>
        </w:rPr>
      </w:r>
    </w:p>
    <w:p>
      <w:pPr>
        <w:pStyle w:val="Normal"/>
        <w:spacing w:lineRule="auto" w:line="240" w:before="0" w:after="0"/>
        <w:jc w:val="both"/>
        <w:rPr>
          <w:rFonts w:ascii="Arial" w:hAnsi="Arial" w:eastAsia="Garamond" w:cs="Arial"/>
          <w:sz w:val="24"/>
          <w:szCs w:val="24"/>
          <w:lang w:val="uk-UA"/>
        </w:rPr>
      </w:pPr>
      <w:r>
        <w:rPr>
          <w:rFonts w:eastAsia="Garamond" w:cs="Arial" w:ascii="Arial" w:hAnsi="Arial"/>
          <w:sz w:val="24"/>
          <w:szCs w:val="24"/>
          <w:lang w:val="uk-UA"/>
        </w:rPr>
        <w:t>Нижче представлені фінансові активи та зобов’язання в розрізі валют станом на 31 грудня 2018 р.:</w:t>
      </w:r>
    </w:p>
    <w:p>
      <w:pPr>
        <w:pStyle w:val="Normal"/>
        <w:spacing w:lineRule="auto" w:line="240" w:before="0" w:after="0"/>
        <w:jc w:val="both"/>
        <w:rPr>
          <w:rFonts w:ascii="Arial" w:hAnsi="Arial" w:eastAsia="Garamond" w:cs="Arial"/>
          <w:sz w:val="20"/>
          <w:szCs w:val="20"/>
          <w:lang w:val="uk-UA"/>
        </w:rPr>
      </w:pPr>
      <w:r>
        <w:rPr>
          <w:rFonts w:eastAsia="Garamond" w:cs="Arial" w:ascii="Arial" w:hAnsi="Arial"/>
          <w:sz w:val="20"/>
          <w:szCs w:val="20"/>
          <w:lang w:val="uk-UA"/>
        </w:rPr>
      </w:r>
    </w:p>
    <w:tbl>
      <w:tblPr>
        <w:tblW w:w="9374" w:type="dxa"/>
        <w:jc w:val="left"/>
        <w:tblInd w:w="108" w:type="dxa"/>
        <w:tblCellMar>
          <w:top w:w="0" w:type="dxa"/>
          <w:left w:w="108" w:type="dxa"/>
          <w:bottom w:w="0" w:type="dxa"/>
          <w:right w:w="108" w:type="dxa"/>
        </w:tblCellMar>
        <w:tblLook w:firstRow="1" w:noVBand="0" w:lastRow="1" w:firstColumn="1" w:lastColumn="1" w:noHBand="0" w:val="01e0"/>
      </w:tblPr>
      <w:tblGrid>
        <w:gridCol w:w="3685"/>
        <w:gridCol w:w="1702"/>
        <w:gridCol w:w="282"/>
        <w:gridCol w:w="1938"/>
        <w:gridCol w:w="235"/>
        <w:gridCol w:w="1531"/>
      </w:tblGrid>
      <w:tr>
        <w:trPr>
          <w:trHeight w:val="20" w:hRule="atLeast"/>
        </w:trPr>
        <w:tc>
          <w:tcPr>
            <w:tcW w:w="3685" w:type="dxa"/>
            <w:tcBorders/>
            <w:vAlign w:val="center"/>
          </w:tcPr>
          <w:p>
            <w:pPr>
              <w:pStyle w:val="Normal"/>
              <w:spacing w:lineRule="auto" w:line="240" w:before="0" w:after="0"/>
              <w:ind w:left="-108" w:hanging="0"/>
              <w:rPr>
                <w:rFonts w:ascii="Arial" w:hAnsi="Arial" w:eastAsia="Garamond" w:cs="Arial"/>
                <w:lang w:val="uk-UA"/>
              </w:rPr>
            </w:pPr>
            <w:r>
              <w:rPr>
                <w:rFonts w:eastAsia="Garamond" w:cs="Arial" w:ascii="Arial" w:hAnsi="Arial"/>
                <w:b/>
                <w:bCs/>
                <w:lang w:val="uk-UA"/>
              </w:rPr>
              <w:t>Фінансові активи</w:t>
            </w:r>
          </w:p>
        </w:tc>
        <w:tc>
          <w:tcPr>
            <w:tcW w:w="1702" w:type="dxa"/>
            <w:tcBorders/>
            <w:vAlign w:val="center"/>
          </w:tcPr>
          <w:p>
            <w:pPr>
              <w:pStyle w:val="Normal"/>
              <w:spacing w:lineRule="auto" w:line="240" w:before="0" w:after="0"/>
              <w:jc w:val="center"/>
              <w:rPr>
                <w:rFonts w:ascii="Arial" w:hAnsi="Arial" w:eastAsia="Garamond" w:cs="Arial"/>
                <w:lang w:val="uk-UA"/>
              </w:rPr>
            </w:pPr>
            <w:r>
              <w:rPr>
                <w:rFonts w:eastAsia="Garamond" w:cs="Arial" w:ascii="Arial" w:hAnsi="Arial"/>
                <w:b/>
                <w:bCs/>
                <w:lang w:val="uk-UA"/>
              </w:rPr>
              <w:t>Гривня</w:t>
            </w:r>
          </w:p>
        </w:tc>
        <w:tc>
          <w:tcPr>
            <w:tcW w:w="282" w:type="dxa"/>
            <w:tcBorders/>
            <w:vAlign w:val="center"/>
          </w:tcPr>
          <w:p>
            <w:pPr>
              <w:pStyle w:val="Normal"/>
              <w:spacing w:lineRule="auto" w:line="240" w:before="0" w:after="0"/>
              <w:jc w:val="center"/>
              <w:rPr>
                <w:rFonts w:ascii="Arial" w:hAnsi="Arial" w:cs="Arial"/>
                <w:lang w:val="uk-UA"/>
              </w:rPr>
            </w:pPr>
            <w:r>
              <w:rPr>
                <w:rFonts w:cs="Arial" w:ascii="Arial" w:hAnsi="Arial"/>
                <w:lang w:val="uk-UA"/>
              </w:rPr>
            </w:r>
          </w:p>
        </w:tc>
        <w:tc>
          <w:tcPr>
            <w:tcW w:w="1938" w:type="dxa"/>
            <w:tcBorders/>
            <w:vAlign w:val="center"/>
          </w:tcPr>
          <w:p>
            <w:pPr>
              <w:pStyle w:val="Normal"/>
              <w:spacing w:lineRule="auto" w:line="240" w:before="0" w:after="0"/>
              <w:jc w:val="center"/>
              <w:rPr>
                <w:rFonts w:ascii="Arial" w:hAnsi="Arial" w:eastAsia="Garamond" w:cs="Arial"/>
                <w:lang w:val="uk-UA"/>
              </w:rPr>
            </w:pPr>
            <w:r>
              <w:rPr>
                <w:rFonts w:eastAsia="Garamond" w:cs="Arial" w:ascii="Arial" w:hAnsi="Arial"/>
                <w:b/>
                <w:bCs/>
                <w:lang w:val="uk-UA"/>
              </w:rPr>
              <w:t>Валюта  (долар, євро)</w:t>
            </w:r>
          </w:p>
        </w:tc>
        <w:tc>
          <w:tcPr>
            <w:tcW w:w="235" w:type="dxa"/>
            <w:tcBorders/>
            <w:vAlign w:val="center"/>
          </w:tcPr>
          <w:p>
            <w:pPr>
              <w:pStyle w:val="Normal"/>
              <w:spacing w:lineRule="auto" w:line="240" w:before="0" w:after="0"/>
              <w:jc w:val="center"/>
              <w:rPr>
                <w:rFonts w:ascii="Arial" w:hAnsi="Arial" w:eastAsia="Garamond" w:cs="Arial"/>
                <w:lang w:val="uk-UA"/>
              </w:rPr>
            </w:pPr>
            <w:r>
              <w:rPr>
                <w:rFonts w:eastAsia="Garamond" w:cs="Arial" w:ascii="Arial" w:hAnsi="Arial"/>
                <w:lang w:val="uk-UA"/>
              </w:rPr>
            </w:r>
          </w:p>
        </w:tc>
        <w:tc>
          <w:tcPr>
            <w:tcW w:w="1531" w:type="dxa"/>
            <w:tcBorders>
              <w:bottom w:val="single" w:sz="4" w:space="0" w:color="000000"/>
            </w:tcBorders>
            <w:vAlign w:val="center"/>
          </w:tcPr>
          <w:p>
            <w:pPr>
              <w:pStyle w:val="Normal"/>
              <w:spacing w:lineRule="auto" w:line="240" w:before="0" w:after="0"/>
              <w:jc w:val="center"/>
              <w:rPr>
                <w:rFonts w:ascii="Arial" w:hAnsi="Arial" w:eastAsia="Garamond" w:cs="Arial"/>
                <w:lang w:val="uk-UA"/>
              </w:rPr>
            </w:pPr>
            <w:r>
              <w:rPr>
                <w:rFonts w:eastAsia="Garamond" w:cs="Arial" w:ascii="Arial" w:hAnsi="Arial"/>
                <w:b/>
                <w:bCs/>
                <w:lang w:val="uk-UA"/>
              </w:rPr>
              <w:t>Всього</w:t>
            </w:r>
          </w:p>
        </w:tc>
      </w:tr>
      <w:tr>
        <w:trPr>
          <w:trHeight w:val="20" w:hRule="atLeast"/>
        </w:trPr>
        <w:tc>
          <w:tcPr>
            <w:tcW w:w="3685" w:type="dxa"/>
            <w:tcBorders/>
          </w:tcPr>
          <w:p>
            <w:pPr>
              <w:pStyle w:val="Normal"/>
              <w:spacing w:lineRule="auto" w:line="240" w:before="0" w:after="0"/>
              <w:ind w:left="-108" w:hanging="0"/>
              <w:rPr>
                <w:rFonts w:ascii="Arial" w:hAnsi="Arial" w:eastAsia="Garamond" w:cs="Arial"/>
                <w:lang w:val="uk-UA"/>
              </w:rPr>
            </w:pPr>
            <w:r>
              <w:rPr>
                <w:rFonts w:eastAsia="Garamond" w:cs="Arial" w:ascii="Arial" w:hAnsi="Arial"/>
                <w:lang w:val="uk-UA"/>
              </w:rPr>
              <w:t>Торгова та інша дебіторська заборгованість</w:t>
            </w:r>
          </w:p>
        </w:tc>
        <w:tc>
          <w:tcPr>
            <w:tcW w:w="1702" w:type="dxa"/>
            <w:tcBorders>
              <w:top w:val="single" w:sz="4" w:space="0" w:color="000000"/>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155,633</w:t>
            </w:r>
          </w:p>
        </w:tc>
        <w:tc>
          <w:tcPr>
            <w:tcW w:w="282" w:type="dxa"/>
            <w:tcBorders/>
            <w:vAlign w:val="center"/>
          </w:tcPr>
          <w:p>
            <w:pPr>
              <w:pStyle w:val="Normal"/>
              <w:spacing w:lineRule="auto" w:line="240" w:before="0" w:after="0"/>
              <w:jc w:val="right"/>
              <w:rPr>
                <w:rFonts w:ascii="Arial" w:hAnsi="Arial" w:cs="Arial"/>
                <w:lang w:val="uk-UA"/>
              </w:rPr>
            </w:pPr>
            <w:r>
              <w:rPr>
                <w:rFonts w:cs="Arial" w:ascii="Arial" w:hAnsi="Arial"/>
                <w:lang w:val="uk-UA"/>
              </w:rPr>
            </w:r>
          </w:p>
        </w:tc>
        <w:tc>
          <w:tcPr>
            <w:tcW w:w="1938" w:type="dxa"/>
            <w:tcBorders>
              <w:top w:val="single" w:sz="4" w:space="0" w:color="000000"/>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r>
          </w:p>
        </w:tc>
        <w:tc>
          <w:tcPr>
            <w:tcW w:w="235" w:type="dxa"/>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r>
          </w:p>
        </w:tc>
        <w:tc>
          <w:tcPr>
            <w:tcW w:w="1531" w:type="dxa"/>
            <w:tcBorders>
              <w:top w:val="single" w:sz="4" w:space="0" w:color="000000"/>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155,633</w:t>
            </w:r>
          </w:p>
        </w:tc>
      </w:tr>
      <w:tr>
        <w:trPr>
          <w:trHeight w:val="20" w:hRule="atLeast"/>
        </w:trPr>
        <w:tc>
          <w:tcPr>
            <w:tcW w:w="3685" w:type="dxa"/>
            <w:tcBorders/>
          </w:tcPr>
          <w:p>
            <w:pPr>
              <w:pStyle w:val="Normal"/>
              <w:spacing w:lineRule="auto" w:line="240" w:before="0" w:after="0"/>
              <w:ind w:left="-108" w:hanging="0"/>
              <w:rPr>
                <w:rFonts w:ascii="Arial" w:hAnsi="Arial" w:eastAsia="Garamond" w:cs="Arial"/>
                <w:lang w:val="uk-UA"/>
              </w:rPr>
            </w:pPr>
            <w:r>
              <w:rPr>
                <w:rFonts w:eastAsia="Garamond" w:cs="Arial" w:ascii="Arial" w:hAnsi="Arial"/>
                <w:lang w:val="uk-UA"/>
              </w:rPr>
              <w:t>Державні дотації до отримання</w:t>
            </w:r>
          </w:p>
        </w:tc>
        <w:tc>
          <w:tcPr>
            <w:tcW w:w="1702" w:type="dxa"/>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1,793</w:t>
            </w:r>
          </w:p>
        </w:tc>
        <w:tc>
          <w:tcPr>
            <w:tcW w:w="282" w:type="dxa"/>
            <w:tcBorders/>
            <w:vAlign w:val="center"/>
          </w:tcPr>
          <w:p>
            <w:pPr>
              <w:pStyle w:val="Normal"/>
              <w:spacing w:lineRule="auto" w:line="240" w:before="0" w:after="0"/>
              <w:jc w:val="right"/>
              <w:rPr>
                <w:rFonts w:ascii="Arial" w:hAnsi="Arial" w:cs="Arial"/>
                <w:lang w:val="uk-UA"/>
              </w:rPr>
            </w:pPr>
            <w:r>
              <w:rPr>
                <w:rFonts w:cs="Arial" w:ascii="Arial" w:hAnsi="Arial"/>
                <w:lang w:val="uk-UA"/>
              </w:rPr>
            </w:r>
          </w:p>
        </w:tc>
        <w:tc>
          <w:tcPr>
            <w:tcW w:w="1938" w:type="dxa"/>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r>
          </w:p>
        </w:tc>
        <w:tc>
          <w:tcPr>
            <w:tcW w:w="235" w:type="dxa"/>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r>
          </w:p>
        </w:tc>
        <w:tc>
          <w:tcPr>
            <w:tcW w:w="1531" w:type="dxa"/>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1,793</w:t>
            </w:r>
          </w:p>
        </w:tc>
      </w:tr>
      <w:tr>
        <w:trPr>
          <w:trHeight w:val="20" w:hRule="atLeast"/>
        </w:trPr>
        <w:tc>
          <w:tcPr>
            <w:tcW w:w="3685" w:type="dxa"/>
            <w:vMerge w:val="restart"/>
            <w:tcBorders/>
          </w:tcPr>
          <w:p>
            <w:pPr>
              <w:pStyle w:val="Normal"/>
              <w:spacing w:lineRule="auto" w:line="240" w:before="0" w:after="0"/>
              <w:ind w:left="-108" w:hanging="0"/>
              <w:rPr>
                <w:rFonts w:ascii="Arial" w:hAnsi="Arial" w:eastAsia="Garamond" w:cs="Arial"/>
                <w:lang w:val="uk-UA"/>
              </w:rPr>
            </w:pPr>
            <w:r>
              <w:rPr>
                <w:rFonts w:eastAsia="Garamond" w:cs="Arial" w:ascii="Arial" w:hAnsi="Arial"/>
                <w:lang w:val="uk-UA"/>
              </w:rPr>
              <w:t>Грошові кошти та їх еквіваленти</w:t>
            </w:r>
          </w:p>
        </w:tc>
        <w:tc>
          <w:tcPr>
            <w:tcW w:w="1702" w:type="dxa"/>
            <w:tcBorders>
              <w:bottom w:val="single" w:sz="4" w:space="0" w:color="000000"/>
            </w:tcBorders>
            <w:vAlign w:val="center"/>
          </w:tcPr>
          <w:p>
            <w:pPr>
              <w:pStyle w:val="Normal"/>
              <w:tabs>
                <w:tab w:val="clear" w:pos="720"/>
                <w:tab w:val="left" w:pos="880" w:leader="none"/>
                <w:tab w:val="left" w:pos="1500" w:leader="none"/>
              </w:tabs>
              <w:spacing w:lineRule="auto" w:line="240" w:before="0" w:after="0"/>
              <w:jc w:val="right"/>
              <w:rPr>
                <w:rFonts w:ascii="Arial" w:hAnsi="Arial" w:eastAsia="Garamond" w:cs="Arial"/>
                <w:lang w:val="uk-UA"/>
              </w:rPr>
            </w:pPr>
            <w:r>
              <w:rPr>
                <w:rFonts w:eastAsia="Garamond" w:cs="Arial" w:ascii="Arial" w:hAnsi="Arial"/>
                <w:lang w:val="uk-UA"/>
              </w:rPr>
              <w:t>8,283</w:t>
            </w:r>
          </w:p>
        </w:tc>
        <w:tc>
          <w:tcPr>
            <w:tcW w:w="282" w:type="dxa"/>
            <w:tcBorders/>
            <w:vAlign w:val="center"/>
          </w:tcPr>
          <w:p>
            <w:pPr>
              <w:pStyle w:val="Normal"/>
              <w:spacing w:lineRule="auto" w:line="240" w:before="0" w:after="0"/>
              <w:jc w:val="right"/>
              <w:rPr>
                <w:rFonts w:ascii="Arial" w:hAnsi="Arial" w:cs="Arial"/>
                <w:lang w:val="uk-UA"/>
              </w:rPr>
            </w:pPr>
            <w:r>
              <w:rPr>
                <w:rFonts w:cs="Arial" w:ascii="Arial" w:hAnsi="Arial"/>
                <w:lang w:val="uk-UA"/>
              </w:rPr>
            </w:r>
          </w:p>
        </w:tc>
        <w:tc>
          <w:tcPr>
            <w:tcW w:w="1938" w:type="dxa"/>
            <w:tcBorders>
              <w:bottom w:val="single" w:sz="4" w:space="0" w:color="000000"/>
            </w:tcBorders>
            <w:vAlign w:val="center"/>
          </w:tcPr>
          <w:p>
            <w:pPr>
              <w:pStyle w:val="Normal"/>
              <w:tabs>
                <w:tab w:val="clear" w:pos="720"/>
                <w:tab w:val="left" w:pos="880" w:leader="none"/>
                <w:tab w:val="left" w:pos="1500" w:leader="none"/>
              </w:tabs>
              <w:spacing w:lineRule="auto" w:line="240" w:before="0" w:after="0"/>
              <w:jc w:val="right"/>
              <w:rPr>
                <w:rFonts w:ascii="Arial" w:hAnsi="Arial" w:eastAsia="Garamond" w:cs="Arial"/>
                <w:lang w:val="uk-UA"/>
              </w:rPr>
            </w:pPr>
            <w:r>
              <w:rPr>
                <w:rFonts w:eastAsia="Garamond" w:cs="Arial" w:ascii="Arial" w:hAnsi="Arial"/>
                <w:lang w:val="uk-UA"/>
              </w:rPr>
              <w:t>141,185</w:t>
            </w:r>
          </w:p>
        </w:tc>
        <w:tc>
          <w:tcPr>
            <w:tcW w:w="235" w:type="dxa"/>
            <w:tcBorders/>
            <w:vAlign w:val="center"/>
          </w:tcPr>
          <w:p>
            <w:pPr>
              <w:pStyle w:val="Normal"/>
              <w:spacing w:lineRule="auto" w:line="240" w:before="0" w:after="0"/>
              <w:jc w:val="right"/>
              <w:rPr>
                <w:rFonts w:ascii="Arial" w:hAnsi="Arial" w:cs="Arial"/>
                <w:lang w:val="uk-UA"/>
              </w:rPr>
            </w:pPr>
            <w:r>
              <w:rPr>
                <w:rFonts w:cs="Arial" w:ascii="Arial" w:hAnsi="Arial"/>
                <w:lang w:val="uk-UA"/>
              </w:rPr>
            </w:r>
          </w:p>
        </w:tc>
        <w:tc>
          <w:tcPr>
            <w:tcW w:w="1531" w:type="dxa"/>
            <w:tcBorders>
              <w:bottom w:val="single" w:sz="4" w:space="0" w:color="000000"/>
            </w:tcBorders>
            <w:vAlign w:val="center"/>
          </w:tcPr>
          <w:p>
            <w:pPr>
              <w:pStyle w:val="Normal"/>
              <w:tabs>
                <w:tab w:val="clear" w:pos="720"/>
                <w:tab w:val="left" w:pos="880" w:leader="none"/>
                <w:tab w:val="left" w:pos="1500" w:leader="none"/>
              </w:tabs>
              <w:spacing w:lineRule="auto" w:line="240" w:before="0" w:after="0"/>
              <w:jc w:val="right"/>
              <w:rPr>
                <w:rFonts w:ascii="Arial" w:hAnsi="Arial" w:eastAsia="Garamond" w:cs="Arial"/>
                <w:lang w:val="uk-UA"/>
              </w:rPr>
            </w:pPr>
            <w:r>
              <w:rPr>
                <w:rFonts w:eastAsia="Garamond" w:cs="Arial" w:ascii="Arial" w:hAnsi="Arial"/>
                <w:lang w:val="uk-UA"/>
              </w:rPr>
              <w:t>149,468</w:t>
            </w:r>
          </w:p>
        </w:tc>
      </w:tr>
      <w:tr>
        <w:trPr>
          <w:trHeight w:val="20" w:hRule="atLeast"/>
        </w:trPr>
        <w:tc>
          <w:tcPr>
            <w:tcW w:w="3685" w:type="dxa"/>
            <w:vMerge w:val="continue"/>
            <w:tcBorders/>
          </w:tcPr>
          <w:p>
            <w:pPr>
              <w:pStyle w:val="Normal"/>
              <w:spacing w:lineRule="auto" w:line="240" w:before="0" w:after="0"/>
              <w:ind w:left="-108" w:hanging="0"/>
              <w:rPr>
                <w:rFonts w:ascii="Arial" w:hAnsi="Arial" w:cs="Arial"/>
                <w:lang w:val="uk-UA"/>
              </w:rPr>
            </w:pPr>
            <w:r>
              <w:rPr>
                <w:rFonts w:cs="Arial" w:ascii="Arial" w:hAnsi="Arial"/>
                <w:lang w:val="uk-UA"/>
              </w:rPr>
            </w:r>
          </w:p>
        </w:tc>
        <w:tc>
          <w:tcPr>
            <w:tcW w:w="1702" w:type="dxa"/>
            <w:tcBorders>
              <w:top w:val="single" w:sz="4" w:space="0" w:color="000000"/>
              <w:bottom w:val="double" w:sz="4" w:space="0" w:color="000000"/>
            </w:tcBorders>
            <w:vAlign w:val="center"/>
          </w:tcPr>
          <w:p>
            <w:pPr>
              <w:pStyle w:val="Normal"/>
              <w:spacing w:lineRule="auto" w:line="240" w:before="0" w:after="0"/>
              <w:jc w:val="right"/>
              <w:rPr>
                <w:rFonts w:ascii="Arial" w:hAnsi="Arial" w:eastAsia="Garamond" w:cs="Arial"/>
                <w:b/>
                <w:b/>
                <w:lang w:val="uk-UA"/>
              </w:rPr>
            </w:pPr>
            <w:r>
              <w:rPr>
                <w:rFonts w:eastAsia="Garamond" w:cs="Arial" w:ascii="Arial" w:hAnsi="Arial"/>
                <w:b/>
                <w:lang w:val="uk-UA"/>
              </w:rPr>
              <w:t>165,709</w:t>
            </w:r>
          </w:p>
        </w:tc>
        <w:tc>
          <w:tcPr>
            <w:tcW w:w="282" w:type="dxa"/>
            <w:tcBorders/>
            <w:vAlign w:val="center"/>
          </w:tcPr>
          <w:p>
            <w:pPr>
              <w:pStyle w:val="Normal"/>
              <w:spacing w:lineRule="auto" w:line="240" w:before="0" w:after="0"/>
              <w:jc w:val="right"/>
              <w:rPr>
                <w:rFonts w:ascii="Arial" w:hAnsi="Arial" w:cs="Arial"/>
                <w:b/>
                <w:b/>
                <w:lang w:val="uk-UA"/>
              </w:rPr>
            </w:pPr>
            <w:r>
              <w:rPr>
                <w:rFonts w:cs="Arial" w:ascii="Arial" w:hAnsi="Arial"/>
                <w:b/>
                <w:lang w:val="uk-UA"/>
              </w:rPr>
            </w:r>
          </w:p>
        </w:tc>
        <w:tc>
          <w:tcPr>
            <w:tcW w:w="1938" w:type="dxa"/>
            <w:tcBorders>
              <w:top w:val="single" w:sz="4" w:space="0" w:color="000000"/>
              <w:bottom w:val="double" w:sz="4" w:space="0" w:color="000000"/>
            </w:tcBorders>
            <w:vAlign w:val="center"/>
          </w:tcPr>
          <w:p>
            <w:pPr>
              <w:pStyle w:val="Normal"/>
              <w:spacing w:lineRule="auto" w:line="240" w:before="0" w:after="0"/>
              <w:jc w:val="right"/>
              <w:rPr>
                <w:rFonts w:ascii="Arial" w:hAnsi="Arial" w:eastAsia="Garamond" w:cs="Arial"/>
                <w:b/>
                <w:b/>
                <w:lang w:val="uk-UA"/>
              </w:rPr>
            </w:pPr>
            <w:r>
              <w:rPr>
                <w:rFonts w:eastAsia="Garamond" w:cs="Arial" w:ascii="Arial" w:hAnsi="Arial"/>
                <w:b/>
                <w:lang w:val="uk-UA"/>
              </w:rPr>
              <w:t>141,185</w:t>
            </w:r>
          </w:p>
        </w:tc>
        <w:tc>
          <w:tcPr>
            <w:tcW w:w="235" w:type="dxa"/>
            <w:tcBorders/>
            <w:vAlign w:val="center"/>
          </w:tcPr>
          <w:p>
            <w:pPr>
              <w:pStyle w:val="Normal"/>
              <w:spacing w:lineRule="auto" w:line="240" w:before="0" w:after="0"/>
              <w:jc w:val="right"/>
              <w:rPr>
                <w:rFonts w:ascii="Arial" w:hAnsi="Arial" w:cs="Arial"/>
                <w:b/>
                <w:b/>
                <w:lang w:val="uk-UA"/>
              </w:rPr>
            </w:pPr>
            <w:r>
              <w:rPr>
                <w:rFonts w:cs="Arial" w:ascii="Arial" w:hAnsi="Arial"/>
                <w:b/>
                <w:lang w:val="uk-UA"/>
              </w:rPr>
            </w:r>
          </w:p>
        </w:tc>
        <w:tc>
          <w:tcPr>
            <w:tcW w:w="1531" w:type="dxa"/>
            <w:tcBorders>
              <w:top w:val="single" w:sz="4" w:space="0" w:color="000000"/>
              <w:bottom w:val="double" w:sz="4" w:space="0" w:color="000000"/>
            </w:tcBorders>
            <w:vAlign w:val="center"/>
          </w:tcPr>
          <w:p>
            <w:pPr>
              <w:pStyle w:val="Normal"/>
              <w:spacing w:lineRule="auto" w:line="240" w:before="0" w:after="0"/>
              <w:jc w:val="right"/>
              <w:rPr>
                <w:rFonts w:ascii="Arial" w:hAnsi="Arial" w:eastAsia="Garamond" w:cs="Arial"/>
                <w:b/>
                <w:b/>
                <w:lang w:val="uk-UA"/>
              </w:rPr>
            </w:pPr>
            <w:r>
              <w:rPr>
                <w:rFonts w:eastAsia="Garamond" w:cs="Arial" w:ascii="Arial" w:hAnsi="Arial"/>
                <w:b/>
                <w:lang w:val="uk-UA"/>
              </w:rPr>
              <w:t>306,895</w:t>
            </w:r>
          </w:p>
        </w:tc>
      </w:tr>
      <w:tr>
        <w:trPr>
          <w:trHeight w:val="20" w:hRule="atLeast"/>
        </w:trPr>
        <w:tc>
          <w:tcPr>
            <w:tcW w:w="3685" w:type="dxa"/>
            <w:tcBorders/>
          </w:tcPr>
          <w:p>
            <w:pPr>
              <w:pStyle w:val="Normal"/>
              <w:spacing w:lineRule="auto" w:line="240" w:before="0" w:after="0"/>
              <w:ind w:left="-108" w:hanging="0"/>
              <w:rPr>
                <w:rFonts w:ascii="Arial" w:hAnsi="Arial" w:eastAsia="Garamond" w:cs="Arial"/>
                <w:lang w:val="uk-UA"/>
              </w:rPr>
            </w:pPr>
            <w:r>
              <w:rPr>
                <w:rFonts w:eastAsia="Garamond" w:cs="Arial" w:ascii="Arial" w:hAnsi="Arial"/>
                <w:b/>
                <w:bCs/>
                <w:lang w:val="uk-UA"/>
              </w:rPr>
              <w:t>Фінансові зобов'язання</w:t>
            </w:r>
          </w:p>
        </w:tc>
        <w:tc>
          <w:tcPr>
            <w:tcW w:w="1702" w:type="dxa"/>
            <w:tcBorders>
              <w:bottom w:val="single" w:sz="4" w:space="0" w:color="000000"/>
            </w:tcBorders>
            <w:vAlign w:val="center"/>
          </w:tcPr>
          <w:p>
            <w:pPr>
              <w:pStyle w:val="Normal"/>
              <w:spacing w:lineRule="auto" w:line="240" w:before="0" w:after="0"/>
              <w:jc w:val="center"/>
              <w:rPr>
                <w:rFonts w:ascii="Arial" w:hAnsi="Arial" w:eastAsia="Garamond" w:cs="Arial"/>
                <w:lang w:val="uk-UA"/>
              </w:rPr>
            </w:pPr>
            <w:r>
              <w:rPr>
                <w:rFonts w:eastAsia="Garamond" w:cs="Arial" w:ascii="Arial" w:hAnsi="Arial"/>
                <w:lang w:val="uk-UA"/>
              </w:rPr>
            </w:r>
          </w:p>
        </w:tc>
        <w:tc>
          <w:tcPr>
            <w:tcW w:w="282" w:type="dxa"/>
            <w:tcBorders/>
            <w:vAlign w:val="center"/>
          </w:tcPr>
          <w:p>
            <w:pPr>
              <w:pStyle w:val="Normal"/>
              <w:spacing w:lineRule="auto" w:line="240" w:before="0" w:after="0"/>
              <w:jc w:val="center"/>
              <w:rPr>
                <w:rFonts w:ascii="Arial" w:hAnsi="Arial" w:cs="Arial"/>
                <w:lang w:val="uk-UA"/>
              </w:rPr>
            </w:pPr>
            <w:r>
              <w:rPr>
                <w:rFonts w:cs="Arial" w:ascii="Arial" w:hAnsi="Arial"/>
                <w:lang w:val="uk-UA"/>
              </w:rPr>
            </w:r>
          </w:p>
        </w:tc>
        <w:tc>
          <w:tcPr>
            <w:tcW w:w="1938" w:type="dxa"/>
            <w:tcBorders>
              <w:bottom w:val="single" w:sz="4" w:space="0" w:color="000000"/>
            </w:tcBorders>
            <w:vAlign w:val="center"/>
          </w:tcPr>
          <w:p>
            <w:pPr>
              <w:pStyle w:val="Normal"/>
              <w:spacing w:lineRule="auto" w:line="240" w:before="0" w:after="0"/>
              <w:jc w:val="center"/>
              <w:rPr>
                <w:rFonts w:ascii="Arial" w:hAnsi="Arial" w:eastAsia="Garamond" w:cs="Arial"/>
                <w:lang w:val="uk-UA"/>
              </w:rPr>
            </w:pPr>
            <w:r>
              <w:rPr>
                <w:rFonts w:eastAsia="Garamond" w:cs="Arial" w:ascii="Arial" w:hAnsi="Arial"/>
                <w:lang w:val="uk-UA"/>
              </w:rPr>
            </w:r>
          </w:p>
        </w:tc>
        <w:tc>
          <w:tcPr>
            <w:tcW w:w="235" w:type="dxa"/>
            <w:tcBorders/>
            <w:vAlign w:val="center"/>
          </w:tcPr>
          <w:p>
            <w:pPr>
              <w:pStyle w:val="Normal"/>
              <w:spacing w:lineRule="auto" w:line="240" w:before="0" w:after="0"/>
              <w:jc w:val="center"/>
              <w:rPr>
                <w:rFonts w:ascii="Arial" w:hAnsi="Arial" w:cs="Arial"/>
                <w:lang w:val="uk-UA"/>
              </w:rPr>
            </w:pPr>
            <w:r>
              <w:rPr>
                <w:rFonts w:cs="Arial" w:ascii="Arial" w:hAnsi="Arial"/>
                <w:lang w:val="uk-UA"/>
              </w:rPr>
            </w:r>
          </w:p>
        </w:tc>
        <w:tc>
          <w:tcPr>
            <w:tcW w:w="1531" w:type="dxa"/>
            <w:tcBorders>
              <w:top w:val="double" w:sz="4" w:space="0" w:color="000000"/>
              <w:bottom w:val="single" w:sz="4" w:space="0" w:color="000000"/>
            </w:tcBorders>
            <w:vAlign w:val="center"/>
          </w:tcPr>
          <w:p>
            <w:pPr>
              <w:pStyle w:val="Normal"/>
              <w:spacing w:lineRule="auto" w:line="240" w:before="0" w:after="0"/>
              <w:jc w:val="center"/>
              <w:rPr>
                <w:rFonts w:ascii="Arial" w:hAnsi="Arial" w:eastAsia="Garamond" w:cs="Arial"/>
                <w:lang w:val="uk-UA"/>
              </w:rPr>
            </w:pPr>
            <w:r>
              <w:rPr>
                <w:rFonts w:eastAsia="Garamond" w:cs="Arial" w:ascii="Arial" w:hAnsi="Arial"/>
                <w:lang w:val="uk-UA"/>
              </w:rPr>
            </w:r>
          </w:p>
        </w:tc>
      </w:tr>
      <w:tr>
        <w:trPr>
          <w:trHeight w:val="20" w:hRule="atLeast"/>
        </w:trPr>
        <w:tc>
          <w:tcPr>
            <w:tcW w:w="3685" w:type="dxa"/>
            <w:tcBorders/>
          </w:tcPr>
          <w:p>
            <w:pPr>
              <w:pStyle w:val="Normal"/>
              <w:spacing w:lineRule="auto" w:line="240" w:before="0" w:after="0"/>
              <w:ind w:left="-108" w:hanging="0"/>
              <w:rPr>
                <w:rFonts w:ascii="Arial" w:hAnsi="Arial" w:eastAsia="Garamond" w:cs="Arial"/>
                <w:lang w:val="uk-UA"/>
              </w:rPr>
            </w:pPr>
            <w:r>
              <w:rPr>
                <w:rFonts w:eastAsia="Garamond" w:cs="Arial" w:ascii="Arial" w:hAnsi="Arial"/>
                <w:lang w:val="uk-UA"/>
              </w:rPr>
              <w:t>Кредити та запозичення</w:t>
            </w:r>
          </w:p>
        </w:tc>
        <w:tc>
          <w:tcPr>
            <w:tcW w:w="1702" w:type="dxa"/>
            <w:tcBorders>
              <w:top w:val="single" w:sz="4" w:space="0" w:color="000000"/>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r>
          </w:p>
        </w:tc>
        <w:tc>
          <w:tcPr>
            <w:tcW w:w="282" w:type="dxa"/>
            <w:tcBorders/>
            <w:vAlign w:val="center"/>
          </w:tcPr>
          <w:p>
            <w:pPr>
              <w:pStyle w:val="Normal"/>
              <w:spacing w:lineRule="auto" w:line="240" w:before="0" w:after="0"/>
              <w:jc w:val="right"/>
              <w:rPr>
                <w:rFonts w:ascii="Arial" w:hAnsi="Arial" w:cs="Arial"/>
                <w:lang w:val="uk-UA"/>
              </w:rPr>
            </w:pPr>
            <w:r>
              <w:rPr>
                <w:rFonts w:cs="Arial" w:ascii="Arial" w:hAnsi="Arial"/>
                <w:lang w:val="uk-UA"/>
              </w:rPr>
            </w:r>
          </w:p>
        </w:tc>
        <w:tc>
          <w:tcPr>
            <w:tcW w:w="1938" w:type="dxa"/>
            <w:tcBorders>
              <w:top w:val="single" w:sz="4" w:space="0" w:color="000000"/>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(181,046)</w:t>
            </w:r>
          </w:p>
        </w:tc>
        <w:tc>
          <w:tcPr>
            <w:tcW w:w="235" w:type="dxa"/>
            <w:tcBorders/>
            <w:vAlign w:val="center"/>
          </w:tcPr>
          <w:p>
            <w:pPr>
              <w:pStyle w:val="Normal"/>
              <w:spacing w:lineRule="auto" w:line="240" w:before="0" w:after="0"/>
              <w:jc w:val="right"/>
              <w:rPr>
                <w:rFonts w:ascii="Arial" w:hAnsi="Arial" w:cs="Arial"/>
                <w:lang w:val="uk-UA"/>
              </w:rPr>
            </w:pPr>
            <w:r>
              <w:rPr>
                <w:rFonts w:cs="Arial" w:ascii="Arial" w:hAnsi="Arial"/>
                <w:lang w:val="uk-UA"/>
              </w:rPr>
            </w:r>
          </w:p>
        </w:tc>
        <w:tc>
          <w:tcPr>
            <w:tcW w:w="1531" w:type="dxa"/>
            <w:tcBorders>
              <w:top w:val="single" w:sz="4" w:space="0" w:color="000000"/>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(181,046)</w:t>
            </w:r>
          </w:p>
        </w:tc>
      </w:tr>
      <w:tr>
        <w:trPr>
          <w:trHeight w:val="20" w:hRule="atLeast"/>
        </w:trPr>
        <w:tc>
          <w:tcPr>
            <w:tcW w:w="3685" w:type="dxa"/>
            <w:tcBorders/>
          </w:tcPr>
          <w:p>
            <w:pPr>
              <w:pStyle w:val="Normal"/>
              <w:spacing w:lineRule="auto" w:line="240" w:before="0" w:after="0"/>
              <w:ind w:left="-108" w:hanging="0"/>
              <w:rPr>
                <w:rFonts w:ascii="Arial" w:hAnsi="Arial" w:eastAsia="Garamond" w:cs="Arial"/>
                <w:lang w:val="uk-UA"/>
              </w:rPr>
            </w:pPr>
            <w:r>
              <w:rPr>
                <w:rFonts w:eastAsia="Garamond" w:cs="Arial" w:ascii="Arial" w:hAnsi="Arial"/>
                <w:lang w:val="uk-UA"/>
              </w:rPr>
              <w:t>Торгова та інша кредиторська заборгованість</w:t>
            </w:r>
          </w:p>
        </w:tc>
        <w:tc>
          <w:tcPr>
            <w:tcW w:w="1702" w:type="dxa"/>
            <w:tcBorders>
              <w:bottom w:val="single" w:sz="4" w:space="0" w:color="000000"/>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(429,296)</w:t>
            </w:r>
          </w:p>
        </w:tc>
        <w:tc>
          <w:tcPr>
            <w:tcW w:w="282" w:type="dxa"/>
            <w:tcBorders/>
            <w:vAlign w:val="center"/>
          </w:tcPr>
          <w:p>
            <w:pPr>
              <w:pStyle w:val="Normal"/>
              <w:spacing w:lineRule="auto" w:line="240" w:before="0" w:after="0"/>
              <w:jc w:val="right"/>
              <w:rPr>
                <w:rFonts w:ascii="Arial" w:hAnsi="Arial" w:cs="Arial"/>
                <w:lang w:val="uk-UA"/>
              </w:rPr>
            </w:pPr>
            <w:r>
              <w:rPr>
                <w:rFonts w:cs="Arial" w:ascii="Arial" w:hAnsi="Arial"/>
                <w:lang w:val="uk-UA"/>
              </w:rPr>
            </w:r>
          </w:p>
        </w:tc>
        <w:tc>
          <w:tcPr>
            <w:tcW w:w="1938" w:type="dxa"/>
            <w:tcBorders>
              <w:bottom w:val="single" w:sz="4" w:space="0" w:color="000000"/>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(1,281)</w:t>
            </w:r>
          </w:p>
        </w:tc>
        <w:tc>
          <w:tcPr>
            <w:tcW w:w="235" w:type="dxa"/>
            <w:tcBorders/>
            <w:vAlign w:val="center"/>
          </w:tcPr>
          <w:p>
            <w:pPr>
              <w:pStyle w:val="Normal"/>
              <w:spacing w:lineRule="auto" w:line="240" w:before="0" w:after="0"/>
              <w:jc w:val="right"/>
              <w:rPr>
                <w:rFonts w:ascii="Arial" w:hAnsi="Arial" w:cs="Arial"/>
                <w:lang w:val="uk-UA"/>
              </w:rPr>
            </w:pPr>
            <w:r>
              <w:rPr>
                <w:rFonts w:cs="Arial" w:ascii="Arial" w:hAnsi="Arial"/>
                <w:lang w:val="uk-UA"/>
              </w:rPr>
            </w:r>
          </w:p>
        </w:tc>
        <w:tc>
          <w:tcPr>
            <w:tcW w:w="1531" w:type="dxa"/>
            <w:tcBorders>
              <w:bottom w:val="single" w:sz="4" w:space="0" w:color="000000"/>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(430,577)</w:t>
            </w:r>
          </w:p>
        </w:tc>
      </w:tr>
      <w:tr>
        <w:trPr>
          <w:trHeight w:val="20" w:hRule="atLeast"/>
        </w:trPr>
        <w:tc>
          <w:tcPr>
            <w:tcW w:w="3685" w:type="dxa"/>
            <w:tcBorders/>
          </w:tcPr>
          <w:p>
            <w:pPr>
              <w:pStyle w:val="Normal"/>
              <w:spacing w:lineRule="auto" w:line="240" w:before="0" w:after="0"/>
              <w:ind w:left="-108" w:hanging="0"/>
              <w:rPr>
                <w:rFonts w:ascii="Arial" w:hAnsi="Arial" w:cs="Arial"/>
                <w:b/>
                <w:b/>
                <w:lang w:val="uk-UA"/>
              </w:rPr>
            </w:pPr>
            <w:r>
              <w:rPr>
                <w:rFonts w:cs="Arial" w:ascii="Arial" w:hAnsi="Arial"/>
                <w:b/>
                <w:lang w:val="uk-UA"/>
              </w:rPr>
            </w:r>
          </w:p>
        </w:tc>
        <w:tc>
          <w:tcPr>
            <w:tcW w:w="1702" w:type="dxa"/>
            <w:tcBorders>
              <w:top w:val="single" w:sz="4" w:space="0" w:color="000000"/>
              <w:bottom w:val="single" w:sz="4" w:space="0" w:color="000000"/>
            </w:tcBorders>
            <w:vAlign w:val="center"/>
          </w:tcPr>
          <w:p>
            <w:pPr>
              <w:pStyle w:val="Normal"/>
              <w:spacing w:lineRule="auto" w:line="240" w:before="0" w:after="0"/>
              <w:ind w:left="-108" w:hanging="0"/>
              <w:jc w:val="right"/>
              <w:rPr>
                <w:rFonts w:ascii="Arial" w:hAnsi="Arial" w:eastAsia="Garamond" w:cs="Arial"/>
                <w:b/>
                <w:b/>
                <w:lang w:val="uk-UA"/>
              </w:rPr>
            </w:pPr>
            <w:r>
              <w:rPr>
                <w:rFonts w:eastAsia="Garamond" w:cs="Arial" w:ascii="Arial" w:hAnsi="Arial"/>
                <w:b/>
                <w:lang w:val="uk-UA"/>
              </w:rPr>
              <w:t>(429,296)</w:t>
            </w:r>
          </w:p>
        </w:tc>
        <w:tc>
          <w:tcPr>
            <w:tcW w:w="282" w:type="dxa"/>
            <w:tcBorders/>
            <w:vAlign w:val="center"/>
          </w:tcPr>
          <w:p>
            <w:pPr>
              <w:pStyle w:val="Normal"/>
              <w:spacing w:lineRule="auto" w:line="240" w:before="0" w:after="0"/>
              <w:ind w:left="-108" w:hanging="0"/>
              <w:jc w:val="right"/>
              <w:rPr>
                <w:rFonts w:ascii="Arial" w:hAnsi="Arial" w:eastAsia="Garamond" w:cs="Arial"/>
                <w:b/>
                <w:b/>
                <w:lang w:val="uk-UA"/>
              </w:rPr>
            </w:pPr>
            <w:r>
              <w:rPr>
                <w:rFonts w:eastAsia="Garamond" w:cs="Arial" w:ascii="Arial" w:hAnsi="Arial"/>
                <w:b/>
                <w:lang w:val="uk-UA"/>
              </w:rPr>
            </w:r>
          </w:p>
        </w:tc>
        <w:tc>
          <w:tcPr>
            <w:tcW w:w="1938" w:type="dxa"/>
            <w:tcBorders>
              <w:top w:val="single" w:sz="4" w:space="0" w:color="000000"/>
              <w:bottom w:val="single" w:sz="4" w:space="0" w:color="000000"/>
            </w:tcBorders>
            <w:vAlign w:val="center"/>
          </w:tcPr>
          <w:p>
            <w:pPr>
              <w:pStyle w:val="Normal"/>
              <w:spacing w:lineRule="auto" w:line="240" w:before="0" w:after="0"/>
              <w:ind w:left="-108" w:hanging="0"/>
              <w:jc w:val="right"/>
              <w:rPr>
                <w:rFonts w:ascii="Arial" w:hAnsi="Arial" w:eastAsia="Garamond" w:cs="Arial"/>
                <w:b/>
                <w:b/>
                <w:lang w:val="uk-UA"/>
              </w:rPr>
            </w:pPr>
            <w:r>
              <w:rPr>
                <w:rFonts w:eastAsia="Garamond" w:cs="Arial" w:ascii="Arial" w:hAnsi="Arial"/>
                <w:b/>
                <w:lang w:val="uk-UA"/>
              </w:rPr>
              <w:t>(182,327)</w:t>
            </w:r>
          </w:p>
        </w:tc>
        <w:tc>
          <w:tcPr>
            <w:tcW w:w="235" w:type="dxa"/>
            <w:tcBorders/>
            <w:vAlign w:val="center"/>
          </w:tcPr>
          <w:p>
            <w:pPr>
              <w:pStyle w:val="Normal"/>
              <w:spacing w:lineRule="auto" w:line="240" w:before="0" w:after="0"/>
              <w:ind w:left="-108" w:hanging="0"/>
              <w:jc w:val="right"/>
              <w:rPr>
                <w:rFonts w:ascii="Arial" w:hAnsi="Arial" w:eastAsia="Garamond" w:cs="Arial"/>
                <w:b/>
                <w:b/>
                <w:lang w:val="uk-UA"/>
              </w:rPr>
            </w:pPr>
            <w:r>
              <w:rPr>
                <w:rFonts w:eastAsia="Garamond" w:cs="Arial" w:ascii="Arial" w:hAnsi="Arial"/>
                <w:b/>
                <w:lang w:val="uk-UA"/>
              </w:rPr>
            </w:r>
          </w:p>
        </w:tc>
        <w:tc>
          <w:tcPr>
            <w:tcW w:w="1531" w:type="dxa"/>
            <w:tcBorders>
              <w:top w:val="single" w:sz="4" w:space="0" w:color="000000"/>
              <w:bottom w:val="single" w:sz="4" w:space="0" w:color="000000"/>
            </w:tcBorders>
            <w:vAlign w:val="center"/>
          </w:tcPr>
          <w:p>
            <w:pPr>
              <w:pStyle w:val="Normal"/>
              <w:spacing w:lineRule="auto" w:line="240" w:before="0" w:after="0"/>
              <w:ind w:left="-108" w:hanging="0"/>
              <w:jc w:val="right"/>
              <w:rPr>
                <w:rFonts w:ascii="Arial" w:hAnsi="Arial" w:eastAsia="Garamond" w:cs="Arial"/>
                <w:b/>
                <w:b/>
                <w:lang w:val="uk-UA"/>
              </w:rPr>
            </w:pPr>
            <w:r>
              <w:rPr>
                <w:rFonts w:eastAsia="Garamond" w:cs="Arial" w:ascii="Arial" w:hAnsi="Arial"/>
                <w:b/>
                <w:lang w:val="uk-UA"/>
              </w:rPr>
              <w:t>(611,623)</w:t>
            </w:r>
          </w:p>
        </w:tc>
      </w:tr>
      <w:tr>
        <w:trPr>
          <w:trHeight w:val="20" w:hRule="atLeast"/>
        </w:trPr>
        <w:tc>
          <w:tcPr>
            <w:tcW w:w="3685" w:type="dxa"/>
            <w:tcBorders/>
          </w:tcPr>
          <w:p>
            <w:pPr>
              <w:pStyle w:val="Normal"/>
              <w:spacing w:lineRule="auto" w:line="240" w:before="0" w:after="0"/>
              <w:ind w:left="-108" w:hanging="0"/>
              <w:rPr>
                <w:rFonts w:ascii="Arial" w:hAnsi="Arial" w:cs="Arial"/>
                <w:lang w:val="uk-UA"/>
              </w:rPr>
            </w:pPr>
            <w:r>
              <w:rPr>
                <w:rFonts w:eastAsia="Garamond" w:cs="Arial" w:ascii="Arial" w:hAnsi="Arial"/>
                <w:b/>
                <w:bCs/>
                <w:lang w:val="uk-UA"/>
              </w:rPr>
              <w:t>Нетто позиція</w:t>
            </w:r>
          </w:p>
        </w:tc>
        <w:tc>
          <w:tcPr>
            <w:tcW w:w="1702" w:type="dxa"/>
            <w:tcBorders>
              <w:top w:val="single" w:sz="4" w:space="0" w:color="000000"/>
              <w:bottom w:val="double" w:sz="4" w:space="0" w:color="000000"/>
            </w:tcBorders>
            <w:vAlign w:val="center"/>
          </w:tcPr>
          <w:p>
            <w:pPr>
              <w:pStyle w:val="Normal"/>
              <w:spacing w:lineRule="auto" w:line="240" w:before="0" w:after="0"/>
              <w:jc w:val="right"/>
              <w:rPr>
                <w:rFonts w:ascii="Arial" w:hAnsi="Arial" w:eastAsia="Garamond" w:cs="Arial"/>
                <w:b/>
                <w:b/>
                <w:lang w:val="uk-UA"/>
              </w:rPr>
            </w:pPr>
            <w:r>
              <w:rPr>
                <w:rFonts w:eastAsia="Garamond" w:cs="Arial" w:ascii="Arial" w:hAnsi="Arial"/>
                <w:b/>
                <w:lang w:val="uk-UA"/>
              </w:rPr>
              <w:t>(263,587)</w:t>
            </w:r>
          </w:p>
        </w:tc>
        <w:tc>
          <w:tcPr>
            <w:tcW w:w="282" w:type="dxa"/>
            <w:tcBorders/>
            <w:vAlign w:val="center"/>
          </w:tcPr>
          <w:p>
            <w:pPr>
              <w:pStyle w:val="Normal"/>
              <w:spacing w:lineRule="auto" w:line="240" w:before="0" w:after="0"/>
              <w:jc w:val="right"/>
              <w:rPr>
                <w:rFonts w:ascii="Arial" w:hAnsi="Arial" w:cs="Arial"/>
                <w:lang w:val="uk-UA"/>
              </w:rPr>
            </w:pPr>
            <w:r>
              <w:rPr>
                <w:rFonts w:cs="Arial" w:ascii="Arial" w:hAnsi="Arial"/>
                <w:lang w:val="uk-UA"/>
              </w:rPr>
            </w:r>
          </w:p>
        </w:tc>
        <w:tc>
          <w:tcPr>
            <w:tcW w:w="1938" w:type="dxa"/>
            <w:tcBorders>
              <w:top w:val="single" w:sz="4" w:space="0" w:color="000000"/>
              <w:bottom w:val="double" w:sz="4" w:space="0" w:color="000000"/>
            </w:tcBorders>
            <w:vAlign w:val="center"/>
          </w:tcPr>
          <w:p>
            <w:pPr>
              <w:pStyle w:val="Normal"/>
              <w:spacing w:lineRule="auto" w:line="240" w:before="0" w:after="0"/>
              <w:jc w:val="right"/>
              <w:rPr>
                <w:rFonts w:ascii="Arial" w:hAnsi="Arial" w:eastAsia="Garamond" w:cs="Arial"/>
                <w:b/>
                <w:b/>
                <w:lang w:val="uk-UA"/>
              </w:rPr>
            </w:pPr>
            <w:r>
              <w:rPr>
                <w:rFonts w:eastAsia="Garamond" w:cs="Arial" w:ascii="Arial" w:hAnsi="Arial"/>
                <w:b/>
                <w:lang w:val="uk-UA"/>
              </w:rPr>
              <w:t>(41,142)</w:t>
            </w:r>
          </w:p>
        </w:tc>
        <w:tc>
          <w:tcPr>
            <w:tcW w:w="235" w:type="dxa"/>
            <w:tcBorders/>
            <w:vAlign w:val="center"/>
          </w:tcPr>
          <w:p>
            <w:pPr>
              <w:pStyle w:val="Normal"/>
              <w:spacing w:lineRule="auto" w:line="240" w:before="0" w:after="0"/>
              <w:jc w:val="right"/>
              <w:rPr>
                <w:rFonts w:ascii="Arial" w:hAnsi="Arial" w:cs="Arial"/>
                <w:lang w:val="uk-UA"/>
              </w:rPr>
            </w:pPr>
            <w:r>
              <w:rPr>
                <w:rFonts w:cs="Arial" w:ascii="Arial" w:hAnsi="Arial"/>
                <w:lang w:val="uk-UA"/>
              </w:rPr>
            </w:r>
          </w:p>
        </w:tc>
        <w:tc>
          <w:tcPr>
            <w:tcW w:w="1531" w:type="dxa"/>
            <w:tcBorders>
              <w:top w:val="single" w:sz="4" w:space="0" w:color="000000"/>
              <w:bottom w:val="double" w:sz="4" w:space="0" w:color="000000"/>
            </w:tcBorders>
            <w:vAlign w:val="center"/>
          </w:tcPr>
          <w:p>
            <w:pPr>
              <w:pStyle w:val="Normal"/>
              <w:spacing w:lineRule="auto" w:line="240" w:before="0" w:after="0"/>
              <w:jc w:val="right"/>
              <w:rPr>
                <w:rFonts w:ascii="Arial" w:hAnsi="Arial" w:eastAsia="Garamond" w:cs="Arial"/>
                <w:b/>
                <w:b/>
                <w:lang w:val="uk-UA"/>
              </w:rPr>
            </w:pPr>
            <w:r>
              <w:rPr>
                <w:rFonts w:eastAsia="Garamond" w:cs="Arial" w:ascii="Arial" w:hAnsi="Arial"/>
                <w:b/>
                <w:lang w:val="uk-UA"/>
              </w:rPr>
              <w:t>(304,728)</w:t>
            </w:r>
          </w:p>
        </w:tc>
      </w:tr>
    </w:tbl>
    <w:p>
      <w:pPr>
        <w:pStyle w:val="Normal"/>
        <w:spacing w:lineRule="auto" w:line="240" w:before="0" w:after="0"/>
        <w:jc w:val="both"/>
        <w:rPr>
          <w:rFonts w:ascii="Arial" w:hAnsi="Arial" w:eastAsia="Garamond" w:cs="Arial"/>
          <w:sz w:val="16"/>
          <w:szCs w:val="16"/>
          <w:u w:val="single" w:color="000000"/>
          <w:lang w:val="uk-UA"/>
        </w:rPr>
      </w:pPr>
      <w:r>
        <w:rPr>
          <w:rFonts w:eastAsia="Garamond" w:cs="Arial" w:ascii="Arial" w:hAnsi="Arial"/>
          <w:sz w:val="16"/>
          <w:szCs w:val="16"/>
          <w:u w:val="single" w:color="000000"/>
          <w:lang w:val="uk-UA"/>
        </w:rPr>
      </w:r>
    </w:p>
    <w:p>
      <w:pPr>
        <w:pStyle w:val="Normal"/>
        <w:spacing w:lineRule="auto" w:line="240" w:before="0" w:after="0"/>
        <w:jc w:val="both"/>
        <w:rPr>
          <w:rFonts w:ascii="Arial" w:hAnsi="Arial" w:eastAsia="Garamond" w:cs="Arial"/>
          <w:b/>
          <w:b/>
          <w:sz w:val="24"/>
          <w:szCs w:val="24"/>
          <w:lang w:val="uk-UA"/>
        </w:rPr>
      </w:pPr>
      <w:r>
        <w:rPr>
          <w:rFonts w:eastAsia="Garamond" w:cs="Arial" w:ascii="Arial" w:hAnsi="Arial"/>
          <w:b/>
          <w:sz w:val="24"/>
          <w:szCs w:val="24"/>
          <w:lang w:val="uk-UA"/>
        </w:rPr>
        <w:t>Інші цінові ризики</w:t>
      </w:r>
    </w:p>
    <w:p>
      <w:pPr>
        <w:pStyle w:val="Normal"/>
        <w:spacing w:lineRule="auto" w:line="240" w:before="0" w:after="0"/>
        <w:rPr>
          <w:rFonts w:ascii="Arial" w:hAnsi="Arial" w:cs="Arial"/>
          <w:sz w:val="10"/>
          <w:szCs w:val="10"/>
          <w:lang w:val="uk-UA"/>
        </w:rPr>
      </w:pPr>
      <w:r>
        <w:rPr>
          <w:rFonts w:cs="Arial" w:ascii="Arial" w:hAnsi="Arial"/>
          <w:sz w:val="10"/>
          <w:szCs w:val="10"/>
          <w:lang w:val="uk-UA"/>
        </w:rPr>
      </w:r>
    </w:p>
    <w:p>
      <w:pPr>
        <w:pStyle w:val="Normal"/>
        <w:spacing w:lineRule="auto" w:line="240" w:before="0" w:after="0"/>
        <w:jc w:val="both"/>
        <w:rPr>
          <w:rFonts w:ascii="Arial" w:hAnsi="Arial" w:eastAsia="Garamond" w:cs="Arial"/>
          <w:sz w:val="24"/>
          <w:szCs w:val="24"/>
          <w:lang w:val="uk-UA"/>
        </w:rPr>
      </w:pPr>
      <w:r>
        <w:rPr>
          <w:rFonts w:eastAsia="Garamond" w:cs="Arial" w:ascii="Arial" w:hAnsi="Arial"/>
          <w:sz w:val="24"/>
          <w:szCs w:val="24"/>
          <w:lang w:val="uk-UA"/>
        </w:rPr>
        <w:t>Компанія не схильна до ризику зміни вартості капіталу, оскільки не має інвестицій, які класифікуються в Звіті про фінансовий стан або як наявні для продажу, або за справедливою вартістю через прибуток або збиток.</w:t>
      </w:r>
    </w:p>
    <w:p>
      <w:pPr>
        <w:pStyle w:val="Normal"/>
        <w:spacing w:lineRule="auto" w:line="240" w:before="0" w:after="0"/>
        <w:jc w:val="both"/>
        <w:rPr>
          <w:rFonts w:ascii="Arial" w:hAnsi="Arial" w:eastAsia="Garamond" w:cs="Arial"/>
          <w:sz w:val="10"/>
          <w:szCs w:val="10"/>
          <w:u w:val="single" w:color="000000"/>
          <w:lang w:val="uk-UA"/>
        </w:rPr>
      </w:pPr>
      <w:r>
        <w:rPr>
          <w:rFonts w:eastAsia="Garamond" w:cs="Arial" w:ascii="Arial" w:hAnsi="Arial"/>
          <w:sz w:val="10"/>
          <w:szCs w:val="10"/>
          <w:u w:val="single" w:color="000000"/>
          <w:lang w:val="uk-UA"/>
        </w:rPr>
      </w:r>
    </w:p>
    <w:p>
      <w:pPr>
        <w:pStyle w:val="Normal"/>
        <w:spacing w:lineRule="auto" w:line="240" w:before="0" w:after="0"/>
        <w:jc w:val="both"/>
        <w:rPr>
          <w:rFonts w:ascii="Arial" w:hAnsi="Arial" w:eastAsia="Garamond" w:cs="Arial"/>
          <w:b/>
          <w:b/>
          <w:sz w:val="24"/>
          <w:szCs w:val="24"/>
          <w:lang w:val="uk-UA"/>
        </w:rPr>
      </w:pPr>
      <w:r>
        <w:rPr>
          <w:rFonts w:eastAsia="Garamond" w:cs="Arial" w:ascii="Arial" w:hAnsi="Arial"/>
          <w:b/>
          <w:sz w:val="24"/>
          <w:szCs w:val="24"/>
          <w:lang w:val="uk-UA"/>
        </w:rPr>
        <w:t>Ризик ліквідності</w:t>
      </w:r>
    </w:p>
    <w:p>
      <w:pPr>
        <w:pStyle w:val="Normal"/>
        <w:spacing w:lineRule="auto" w:line="240" w:before="0" w:after="0"/>
        <w:rPr>
          <w:rFonts w:ascii="Arial" w:hAnsi="Arial" w:cs="Arial"/>
          <w:sz w:val="10"/>
          <w:szCs w:val="10"/>
          <w:lang w:val="uk-UA"/>
        </w:rPr>
      </w:pPr>
      <w:r>
        <w:rPr>
          <w:rFonts w:cs="Arial" w:ascii="Arial" w:hAnsi="Arial"/>
          <w:sz w:val="10"/>
          <w:szCs w:val="10"/>
          <w:lang w:val="uk-UA"/>
        </w:rPr>
      </w:r>
    </w:p>
    <w:p>
      <w:pPr>
        <w:pStyle w:val="Normal"/>
        <w:spacing w:lineRule="auto" w:line="240" w:before="0" w:after="0"/>
        <w:jc w:val="both"/>
        <w:rPr>
          <w:rFonts w:ascii="Arial" w:hAnsi="Arial" w:eastAsia="Garamond" w:cs="Arial"/>
          <w:sz w:val="24"/>
          <w:szCs w:val="24"/>
          <w:lang w:val="uk-UA"/>
        </w:rPr>
      </w:pPr>
      <w:r>
        <w:rPr>
          <w:rFonts w:eastAsia="Garamond" w:cs="Arial" w:ascii="Arial" w:hAnsi="Arial"/>
          <w:sz w:val="24"/>
          <w:szCs w:val="24"/>
          <w:lang w:val="uk-UA"/>
        </w:rPr>
        <w:t>Ризик ліквідності виникає тоді, коли термін погашення активів та зобов’язань не збігається. Розбіжність даних позицій потенційно підвищує прибутковість, але може також збільшити ризик виникнення збитків. З метою мінімізації втрат Компанія проводить такі процедури як підтримка достатньої кількості грошових коштів та інших високоліквідних активів та відкриття достатньої кількості кредитних ліній. Керівництво здійснює моніторинг щомісячних плаваючих прогнозів грошових потоків Компанії.</w:t>
      </w:r>
    </w:p>
    <w:p>
      <w:pPr>
        <w:pStyle w:val="Normal"/>
        <w:spacing w:lineRule="auto" w:line="240" w:before="0" w:after="0"/>
        <w:rPr>
          <w:rFonts w:ascii="Arial" w:hAnsi="Arial" w:cs="Arial"/>
          <w:sz w:val="6"/>
          <w:szCs w:val="6"/>
          <w:lang w:val="uk-UA"/>
        </w:rPr>
      </w:pPr>
      <w:r>
        <w:rPr>
          <w:rFonts w:cs="Arial" w:ascii="Arial" w:hAnsi="Arial"/>
          <w:sz w:val="6"/>
          <w:szCs w:val="6"/>
          <w:lang w:val="uk-UA"/>
        </w:rPr>
      </w:r>
    </w:p>
    <w:p>
      <w:pPr>
        <w:pStyle w:val="Normal"/>
        <w:spacing w:lineRule="auto" w:line="240" w:before="0" w:after="0"/>
        <w:jc w:val="both"/>
        <w:rPr>
          <w:rFonts w:ascii="Arial" w:hAnsi="Arial" w:eastAsia="Garamond" w:cs="Arial"/>
          <w:sz w:val="24"/>
          <w:szCs w:val="24"/>
          <w:lang w:val="uk-UA"/>
        </w:rPr>
      </w:pPr>
      <w:r>
        <w:rPr>
          <w:rFonts w:eastAsia="Garamond" w:cs="Arial" w:ascii="Arial" w:hAnsi="Arial"/>
          <w:sz w:val="24"/>
          <w:szCs w:val="24"/>
          <w:lang w:val="uk-UA"/>
        </w:rPr>
        <w:t xml:space="preserve">Основна частина зобов’язань Компанії включає зобов’язання перед постачальниками енергоресурсів. Основні джерела надходження грошових коштів включають платежі споживачів за теплопостачання, гаряче водопостачання та трансфертів з бюджету. У зв’язку з тим, що тарифи на теплопостачання і гаряче водопостачання та умови розрахунків зі споживачами регулюються </w:t>
      </w:r>
      <w:r>
        <w:rPr>
          <w:rFonts w:cs="Arial" w:ascii="Arial" w:hAnsi="Arial"/>
          <w:sz w:val="24"/>
          <w:szCs w:val="24"/>
          <w:lang w:val="uk-UA"/>
        </w:rPr>
        <w:t xml:space="preserve">Національною комісією, що здійснює регулювання у сфері комунальних послуг, </w:t>
      </w:r>
      <w:r>
        <w:rPr>
          <w:rFonts w:eastAsia="Garamond" w:cs="Arial" w:ascii="Arial" w:hAnsi="Arial"/>
          <w:sz w:val="24"/>
          <w:szCs w:val="24"/>
          <w:lang w:val="uk-UA"/>
        </w:rPr>
        <w:t>та законами України. Можливості Компанії щодо управління ризиком ліквідності обмежені.</w:t>
      </w:r>
    </w:p>
    <w:p>
      <w:pPr>
        <w:pStyle w:val="Normal"/>
        <w:spacing w:lineRule="auto" w:line="240" w:before="0" w:after="0"/>
        <w:rPr>
          <w:rFonts w:ascii="Arial" w:hAnsi="Arial" w:cs="Arial"/>
          <w:sz w:val="6"/>
          <w:szCs w:val="6"/>
          <w:lang w:val="uk-UA"/>
        </w:rPr>
      </w:pPr>
      <w:r>
        <w:rPr>
          <w:rFonts w:cs="Arial" w:ascii="Arial" w:hAnsi="Arial"/>
          <w:sz w:val="6"/>
          <w:szCs w:val="6"/>
          <w:lang w:val="uk-UA"/>
        </w:rPr>
      </w:r>
    </w:p>
    <w:p>
      <w:pPr>
        <w:pStyle w:val="Normal"/>
        <w:spacing w:lineRule="auto" w:line="240" w:before="0" w:after="0"/>
        <w:jc w:val="both"/>
        <w:rPr>
          <w:rFonts w:ascii="Arial" w:hAnsi="Arial" w:eastAsia="Garamond" w:cs="Arial"/>
          <w:sz w:val="24"/>
          <w:szCs w:val="24"/>
          <w:lang w:val="uk-UA"/>
        </w:rPr>
      </w:pPr>
      <w:r>
        <w:rPr>
          <w:rFonts w:eastAsia="Garamond" w:cs="Arial" w:ascii="Arial" w:hAnsi="Arial"/>
          <w:sz w:val="24"/>
          <w:szCs w:val="24"/>
          <w:lang w:val="uk-UA"/>
        </w:rPr>
        <w:t>У нижченаведених таблицях представлені суми зобов’язань за строками, що залишились до погашення. Суми, розкриті у таблиці, це контрактні недисконтовані потоки грошових коштів, в тому числі валова сума зобов’язань з фінансової оренди та торгової і іншої кредиторської заборгованості.</w:t>
      </w:r>
    </w:p>
    <w:p>
      <w:pPr>
        <w:pStyle w:val="Normal"/>
        <w:spacing w:lineRule="auto" w:line="240" w:before="0" w:after="0"/>
        <w:rPr>
          <w:rFonts w:ascii="Arial" w:hAnsi="Arial" w:cs="Arial"/>
          <w:sz w:val="6"/>
          <w:szCs w:val="6"/>
          <w:lang w:val="uk-UA"/>
        </w:rPr>
      </w:pPr>
      <w:r>
        <w:rPr>
          <w:rFonts w:cs="Arial" w:ascii="Arial" w:hAnsi="Arial"/>
          <w:sz w:val="6"/>
          <w:szCs w:val="6"/>
          <w:lang w:val="uk-UA"/>
        </w:rPr>
      </w:r>
    </w:p>
    <w:p>
      <w:pPr>
        <w:pStyle w:val="Normal"/>
        <w:spacing w:lineRule="auto" w:line="240" w:before="0" w:after="0"/>
        <w:jc w:val="both"/>
        <w:rPr>
          <w:rFonts w:ascii="Arial" w:hAnsi="Arial" w:eastAsia="Garamond" w:cs="Arial"/>
          <w:sz w:val="24"/>
          <w:szCs w:val="24"/>
          <w:lang w:val="uk-UA"/>
        </w:rPr>
      </w:pPr>
      <w:r>
        <w:rPr>
          <w:rFonts w:eastAsia="Garamond" w:cs="Arial" w:ascii="Arial" w:hAnsi="Arial"/>
          <w:sz w:val="24"/>
          <w:szCs w:val="24"/>
          <w:lang w:val="uk-UA"/>
        </w:rPr>
        <w:t>Аналіз фінансових зобов’язань за строками погашення, що визначені договорами, станом на 31 грудня 2019 р. був представлений наступним чином:</w:t>
      </w:r>
    </w:p>
    <w:p>
      <w:pPr>
        <w:pStyle w:val="Normal"/>
        <w:spacing w:lineRule="auto" w:line="240" w:before="0" w:after="0"/>
        <w:jc w:val="both"/>
        <w:rPr>
          <w:rFonts w:ascii="Arial" w:hAnsi="Arial" w:eastAsia="Garamond" w:cs="Arial"/>
          <w:sz w:val="10"/>
          <w:szCs w:val="10"/>
          <w:lang w:val="uk-UA"/>
        </w:rPr>
      </w:pPr>
      <w:r>
        <w:rPr>
          <w:rFonts w:eastAsia="Garamond" w:cs="Arial" w:ascii="Arial" w:hAnsi="Arial"/>
          <w:sz w:val="10"/>
          <w:szCs w:val="10"/>
          <w:lang w:val="uk-UA"/>
        </w:rPr>
      </w:r>
    </w:p>
    <w:tbl>
      <w:tblPr>
        <w:tblW w:w="9446" w:type="dxa"/>
        <w:jc w:val="left"/>
        <w:tblInd w:w="108" w:type="dxa"/>
        <w:tblCellMar>
          <w:top w:w="0" w:type="dxa"/>
          <w:left w:w="108" w:type="dxa"/>
          <w:bottom w:w="0" w:type="dxa"/>
          <w:right w:w="108" w:type="dxa"/>
        </w:tblCellMar>
        <w:tblLook w:firstRow="1" w:noVBand="0" w:lastRow="1" w:firstColumn="1" w:lastColumn="1" w:noHBand="0" w:val="01e0"/>
      </w:tblPr>
      <w:tblGrid>
        <w:gridCol w:w="3260"/>
        <w:gridCol w:w="1178"/>
        <w:gridCol w:w="1515"/>
        <w:gridCol w:w="1134"/>
        <w:gridCol w:w="1181"/>
        <w:gridCol w:w="1177"/>
      </w:tblGrid>
      <w:tr>
        <w:trPr>
          <w:trHeight w:val="20" w:hRule="atLeast"/>
        </w:trPr>
        <w:tc>
          <w:tcPr>
            <w:tcW w:w="3260" w:type="dxa"/>
            <w:tcBorders/>
            <w:vAlign w:val="center"/>
          </w:tcPr>
          <w:p>
            <w:pPr>
              <w:pStyle w:val="Normal"/>
              <w:spacing w:lineRule="auto" w:line="240" w:before="0" w:after="0"/>
              <w:jc w:val="center"/>
              <w:rPr>
                <w:rFonts w:ascii="Arial" w:hAnsi="Arial" w:cs="Arial"/>
                <w:lang w:val="uk-UA"/>
              </w:rPr>
            </w:pPr>
            <w:r>
              <w:rPr>
                <w:rFonts w:cs="Arial" w:ascii="Arial" w:hAnsi="Arial"/>
                <w:lang w:val="uk-UA"/>
              </w:rPr>
            </w:r>
          </w:p>
        </w:tc>
        <w:tc>
          <w:tcPr>
            <w:tcW w:w="1178" w:type="dxa"/>
            <w:tcBorders>
              <w:bottom w:val="single" w:sz="4" w:space="0" w:color="000000"/>
            </w:tcBorders>
            <w:vAlign w:val="center"/>
          </w:tcPr>
          <w:p>
            <w:pPr>
              <w:pStyle w:val="Normal"/>
              <w:spacing w:lineRule="auto" w:line="240" w:before="0" w:after="0"/>
              <w:ind w:left="-108" w:right="-108" w:hanging="0"/>
              <w:jc w:val="center"/>
              <w:rPr>
                <w:rFonts w:ascii="Arial" w:hAnsi="Arial" w:eastAsia="Garamond" w:cs="Arial"/>
                <w:lang w:val="uk-UA"/>
              </w:rPr>
            </w:pPr>
            <w:r>
              <w:rPr>
                <w:rFonts w:eastAsia="Garamond" w:cs="Arial" w:ascii="Arial" w:hAnsi="Arial"/>
                <w:b/>
                <w:bCs/>
                <w:lang w:val="uk-UA"/>
              </w:rPr>
              <w:t>За вимогою</w:t>
            </w:r>
          </w:p>
        </w:tc>
        <w:tc>
          <w:tcPr>
            <w:tcW w:w="1515" w:type="dxa"/>
            <w:tcBorders>
              <w:bottom w:val="single" w:sz="4" w:space="0" w:color="000000"/>
            </w:tcBorders>
            <w:vAlign w:val="center"/>
          </w:tcPr>
          <w:p>
            <w:pPr>
              <w:pStyle w:val="Normal"/>
              <w:spacing w:lineRule="auto" w:line="240" w:before="0" w:after="0"/>
              <w:ind w:left="-108" w:right="-108" w:hanging="0"/>
              <w:jc w:val="center"/>
              <w:rPr>
                <w:rFonts w:ascii="Arial" w:hAnsi="Arial" w:eastAsia="Garamond" w:cs="Arial"/>
                <w:b/>
                <w:b/>
                <w:bCs/>
                <w:lang w:val="uk-UA"/>
              </w:rPr>
            </w:pPr>
            <w:r>
              <w:rPr>
                <w:rFonts w:eastAsia="Garamond" w:cs="Arial" w:ascii="Arial" w:hAnsi="Arial"/>
                <w:b/>
                <w:bCs/>
                <w:lang w:val="uk-UA"/>
              </w:rPr>
              <w:t xml:space="preserve">Менше, </w:t>
            </w:r>
          </w:p>
          <w:p>
            <w:pPr>
              <w:pStyle w:val="Normal"/>
              <w:spacing w:lineRule="auto" w:line="240" w:before="0" w:after="0"/>
              <w:ind w:left="-108" w:right="-108" w:hanging="0"/>
              <w:jc w:val="center"/>
              <w:rPr>
                <w:rFonts w:ascii="Arial" w:hAnsi="Arial" w:eastAsia="Garamond" w:cs="Arial"/>
                <w:lang w:val="uk-UA"/>
              </w:rPr>
            </w:pPr>
            <w:r>
              <w:rPr>
                <w:rFonts w:eastAsia="Garamond" w:cs="Arial" w:ascii="Arial" w:hAnsi="Arial"/>
                <w:b/>
                <w:bCs/>
                <w:lang w:val="uk-UA"/>
              </w:rPr>
              <w:t>ніж 3 місяці</w:t>
            </w:r>
          </w:p>
        </w:tc>
        <w:tc>
          <w:tcPr>
            <w:tcW w:w="1134" w:type="dxa"/>
            <w:tcBorders>
              <w:bottom w:val="single" w:sz="4" w:space="0" w:color="000000"/>
            </w:tcBorders>
            <w:vAlign w:val="center"/>
          </w:tcPr>
          <w:p>
            <w:pPr>
              <w:pStyle w:val="Normal"/>
              <w:spacing w:lineRule="auto" w:line="240" w:before="0" w:after="0"/>
              <w:ind w:left="-108" w:right="-108" w:hanging="0"/>
              <w:jc w:val="center"/>
              <w:rPr>
                <w:rFonts w:ascii="Arial" w:hAnsi="Arial" w:eastAsia="Garamond" w:cs="Arial"/>
                <w:lang w:val="uk-UA"/>
              </w:rPr>
            </w:pPr>
            <w:r>
              <w:rPr>
                <w:rFonts w:eastAsia="Garamond" w:cs="Arial" w:ascii="Arial" w:hAnsi="Arial"/>
                <w:b/>
                <w:bCs/>
                <w:lang w:val="uk-UA"/>
              </w:rPr>
              <w:t>Від 3 до 12 місяців</w:t>
            </w:r>
          </w:p>
        </w:tc>
        <w:tc>
          <w:tcPr>
            <w:tcW w:w="1181" w:type="dxa"/>
            <w:tcBorders>
              <w:bottom w:val="single" w:sz="4" w:space="0" w:color="000000"/>
            </w:tcBorders>
            <w:vAlign w:val="center"/>
          </w:tcPr>
          <w:p>
            <w:pPr>
              <w:pStyle w:val="Normal"/>
              <w:spacing w:lineRule="auto" w:line="240" w:before="0" w:after="0"/>
              <w:ind w:left="-108" w:right="-108" w:hanging="0"/>
              <w:jc w:val="center"/>
              <w:rPr>
                <w:rFonts w:ascii="Arial" w:hAnsi="Arial" w:eastAsia="Garamond" w:cs="Arial"/>
                <w:lang w:val="uk-UA"/>
              </w:rPr>
            </w:pPr>
            <w:r>
              <w:rPr>
                <w:rFonts w:eastAsia="Garamond" w:cs="Arial" w:ascii="Arial" w:hAnsi="Arial"/>
                <w:b/>
                <w:bCs/>
                <w:lang w:val="uk-UA"/>
              </w:rPr>
              <w:t>Більше року</w:t>
            </w:r>
          </w:p>
        </w:tc>
        <w:tc>
          <w:tcPr>
            <w:tcW w:w="1177" w:type="dxa"/>
            <w:tcBorders>
              <w:bottom w:val="single" w:sz="4" w:space="0" w:color="000000"/>
            </w:tcBorders>
            <w:vAlign w:val="center"/>
          </w:tcPr>
          <w:p>
            <w:pPr>
              <w:pStyle w:val="Normal"/>
              <w:spacing w:lineRule="auto" w:line="240" w:before="0" w:after="0"/>
              <w:ind w:left="-108" w:right="-108" w:hanging="0"/>
              <w:jc w:val="center"/>
              <w:rPr>
                <w:rFonts w:ascii="Arial" w:hAnsi="Arial" w:eastAsia="Garamond" w:cs="Arial"/>
                <w:lang w:val="uk-UA"/>
              </w:rPr>
            </w:pPr>
            <w:r>
              <w:rPr>
                <w:rFonts w:eastAsia="Garamond" w:cs="Arial" w:ascii="Arial" w:hAnsi="Arial"/>
                <w:b/>
                <w:bCs/>
                <w:lang w:val="uk-UA"/>
              </w:rPr>
              <w:t>Всього</w:t>
            </w:r>
          </w:p>
        </w:tc>
      </w:tr>
      <w:tr>
        <w:trPr>
          <w:trHeight w:val="20" w:hRule="atLeast"/>
        </w:trPr>
        <w:tc>
          <w:tcPr>
            <w:tcW w:w="3260" w:type="dxa"/>
            <w:tcBorders/>
          </w:tcPr>
          <w:p>
            <w:pPr>
              <w:pStyle w:val="Normal"/>
              <w:spacing w:lineRule="auto" w:line="240" w:before="0" w:after="0"/>
              <w:ind w:left="-108" w:hanging="0"/>
              <w:rPr>
                <w:rFonts w:ascii="Arial" w:hAnsi="Arial" w:eastAsia="Garamond" w:cs="Arial"/>
                <w:lang w:val="uk-UA"/>
              </w:rPr>
            </w:pPr>
            <w:r>
              <w:rPr>
                <w:rFonts w:eastAsia="Garamond" w:cs="Arial" w:ascii="Arial" w:hAnsi="Arial"/>
                <w:lang w:val="uk-UA"/>
              </w:rPr>
              <w:t>Кредити та запозичення</w:t>
            </w:r>
          </w:p>
        </w:tc>
        <w:tc>
          <w:tcPr>
            <w:tcW w:w="1178" w:type="dxa"/>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w:t>
            </w:r>
          </w:p>
        </w:tc>
        <w:tc>
          <w:tcPr>
            <w:tcW w:w="1515" w:type="dxa"/>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w:t>
            </w:r>
          </w:p>
        </w:tc>
        <w:tc>
          <w:tcPr>
            <w:tcW w:w="1134" w:type="dxa"/>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31,939</w:t>
            </w:r>
          </w:p>
        </w:tc>
        <w:tc>
          <w:tcPr>
            <w:tcW w:w="1181" w:type="dxa"/>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260,544</w:t>
            </w:r>
          </w:p>
        </w:tc>
        <w:tc>
          <w:tcPr>
            <w:tcW w:w="1177" w:type="dxa"/>
            <w:tcBorders/>
            <w:vAlign w:val="center"/>
          </w:tcPr>
          <w:p>
            <w:pPr>
              <w:pStyle w:val="Normal"/>
              <w:spacing w:lineRule="auto" w:line="240" w:before="0" w:after="0"/>
              <w:jc w:val="right"/>
              <w:rPr>
                <w:rFonts w:ascii="Arial" w:hAnsi="Arial" w:eastAsia="Garamond" w:cs="Arial"/>
                <w:b/>
                <w:b/>
                <w:lang w:val="uk-UA"/>
              </w:rPr>
            </w:pPr>
            <w:r>
              <w:rPr>
                <w:rFonts w:eastAsia="Garamond" w:cs="Arial" w:ascii="Arial" w:hAnsi="Arial"/>
                <w:b/>
                <w:lang w:val="uk-UA"/>
              </w:rPr>
              <w:t>292,483</w:t>
            </w:r>
          </w:p>
        </w:tc>
      </w:tr>
      <w:tr>
        <w:trPr>
          <w:trHeight w:val="20" w:hRule="atLeast"/>
        </w:trPr>
        <w:tc>
          <w:tcPr>
            <w:tcW w:w="3260" w:type="dxa"/>
            <w:tcBorders/>
          </w:tcPr>
          <w:p>
            <w:pPr>
              <w:pStyle w:val="Normal"/>
              <w:spacing w:lineRule="auto" w:line="240" w:before="0" w:after="0"/>
              <w:ind w:left="-108" w:hanging="0"/>
              <w:jc w:val="both"/>
              <w:rPr>
                <w:rFonts w:ascii="Arial" w:hAnsi="Arial" w:eastAsia="Garamond" w:cs="Arial"/>
                <w:lang w:val="uk-UA"/>
              </w:rPr>
            </w:pPr>
            <w:r>
              <w:rPr>
                <w:rFonts w:eastAsia="Garamond" w:cs="Arial" w:ascii="Arial" w:hAnsi="Arial"/>
                <w:lang w:val="uk-UA"/>
              </w:rPr>
              <w:t>Торгова та інша кредиторська заборгованість</w:t>
            </w:r>
          </w:p>
        </w:tc>
        <w:tc>
          <w:tcPr>
            <w:tcW w:w="1178" w:type="dxa"/>
            <w:tcBorders>
              <w:bottom w:val="single" w:sz="4" w:space="0" w:color="000000"/>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131,595</w:t>
            </w:r>
          </w:p>
        </w:tc>
        <w:tc>
          <w:tcPr>
            <w:tcW w:w="1515" w:type="dxa"/>
            <w:tcBorders>
              <w:bottom w:val="single" w:sz="4" w:space="0" w:color="000000"/>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148,861</w:t>
            </w:r>
          </w:p>
        </w:tc>
        <w:tc>
          <w:tcPr>
            <w:tcW w:w="1134" w:type="dxa"/>
            <w:tcBorders>
              <w:bottom w:val="single" w:sz="4" w:space="0" w:color="000000"/>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137,518</w:t>
            </w:r>
          </w:p>
        </w:tc>
        <w:tc>
          <w:tcPr>
            <w:tcW w:w="1181" w:type="dxa"/>
            <w:tcBorders>
              <w:bottom w:val="single" w:sz="4" w:space="0" w:color="000000"/>
            </w:tcBorders>
            <w:vAlign w:val="center"/>
          </w:tcPr>
          <w:p>
            <w:pPr>
              <w:pStyle w:val="Normal"/>
              <w:spacing w:lineRule="auto" w:line="240" w:before="0" w:after="0"/>
              <w:jc w:val="right"/>
              <w:rPr>
                <w:rFonts w:ascii="Arial" w:hAnsi="Arial" w:cs="Arial"/>
                <w:lang w:val="uk-UA"/>
              </w:rPr>
            </w:pPr>
            <w:r>
              <w:rPr>
                <w:rFonts w:cs="Arial" w:ascii="Arial" w:hAnsi="Arial"/>
                <w:lang w:val="uk-UA"/>
              </w:rPr>
              <w:t>1,429</w:t>
            </w:r>
          </w:p>
        </w:tc>
        <w:tc>
          <w:tcPr>
            <w:tcW w:w="1177" w:type="dxa"/>
            <w:tcBorders>
              <w:bottom w:val="single" w:sz="4" w:space="0" w:color="000000"/>
            </w:tcBorders>
            <w:vAlign w:val="center"/>
          </w:tcPr>
          <w:p>
            <w:pPr>
              <w:pStyle w:val="Normal"/>
              <w:spacing w:lineRule="auto" w:line="240" w:before="0" w:after="0"/>
              <w:jc w:val="right"/>
              <w:rPr>
                <w:rFonts w:ascii="Arial" w:hAnsi="Arial" w:eastAsia="Garamond" w:cs="Arial"/>
                <w:b/>
                <w:b/>
                <w:lang w:val="uk-UA"/>
              </w:rPr>
            </w:pPr>
            <w:r>
              <w:rPr>
                <w:rFonts w:eastAsia="Garamond" w:cs="Arial" w:ascii="Arial" w:hAnsi="Arial"/>
                <w:b/>
                <w:lang w:val="uk-UA"/>
              </w:rPr>
              <w:t>419,403</w:t>
            </w:r>
          </w:p>
        </w:tc>
      </w:tr>
      <w:tr>
        <w:trPr>
          <w:trHeight w:val="20" w:hRule="atLeast"/>
        </w:trPr>
        <w:tc>
          <w:tcPr>
            <w:tcW w:w="3260" w:type="dxa"/>
            <w:tcBorders/>
          </w:tcPr>
          <w:p>
            <w:pPr>
              <w:pStyle w:val="Normal"/>
              <w:spacing w:lineRule="auto" w:line="240" w:before="0" w:after="0"/>
              <w:rPr>
                <w:rFonts w:ascii="Arial" w:hAnsi="Arial" w:cs="Arial"/>
                <w:lang w:val="uk-UA"/>
              </w:rPr>
            </w:pPr>
            <w:r>
              <w:rPr>
                <w:rFonts w:cs="Arial" w:ascii="Arial" w:hAnsi="Arial"/>
                <w:lang w:val="uk-UA"/>
              </w:rPr>
            </w:r>
          </w:p>
        </w:tc>
        <w:tc>
          <w:tcPr>
            <w:tcW w:w="1178" w:type="dxa"/>
            <w:tcBorders>
              <w:top w:val="single" w:sz="4" w:space="0" w:color="000000"/>
              <w:bottom w:val="single" w:sz="4" w:space="0" w:color="000000"/>
            </w:tcBorders>
            <w:vAlign w:val="center"/>
          </w:tcPr>
          <w:p>
            <w:pPr>
              <w:pStyle w:val="Normal"/>
              <w:spacing w:lineRule="auto" w:line="240" w:before="0" w:after="0"/>
              <w:jc w:val="right"/>
              <w:rPr>
                <w:rFonts w:ascii="Arial" w:hAnsi="Arial" w:eastAsia="Garamond" w:cs="Arial"/>
                <w:b/>
                <w:b/>
                <w:lang w:val="uk-UA"/>
              </w:rPr>
            </w:pPr>
            <w:r>
              <w:rPr>
                <w:rFonts w:eastAsia="Garamond" w:cs="Arial" w:ascii="Arial" w:hAnsi="Arial"/>
                <w:b/>
                <w:lang w:val="uk-UA"/>
              </w:rPr>
              <w:t>131,595</w:t>
            </w:r>
          </w:p>
        </w:tc>
        <w:tc>
          <w:tcPr>
            <w:tcW w:w="1515" w:type="dxa"/>
            <w:tcBorders>
              <w:top w:val="single" w:sz="4" w:space="0" w:color="000000"/>
              <w:bottom w:val="single" w:sz="4" w:space="0" w:color="000000"/>
            </w:tcBorders>
            <w:vAlign w:val="center"/>
          </w:tcPr>
          <w:p>
            <w:pPr>
              <w:pStyle w:val="Normal"/>
              <w:spacing w:lineRule="auto" w:line="240" w:before="0" w:after="0"/>
              <w:jc w:val="right"/>
              <w:rPr>
                <w:rFonts w:ascii="Arial" w:hAnsi="Arial" w:eastAsia="Garamond" w:cs="Arial"/>
                <w:b/>
                <w:b/>
                <w:lang w:val="uk-UA"/>
              </w:rPr>
            </w:pPr>
            <w:r>
              <w:rPr>
                <w:rFonts w:eastAsia="Garamond" w:cs="Arial" w:ascii="Arial" w:hAnsi="Arial"/>
                <w:b/>
                <w:lang w:val="uk-UA"/>
              </w:rPr>
              <w:t>148,861</w:t>
            </w:r>
          </w:p>
        </w:tc>
        <w:tc>
          <w:tcPr>
            <w:tcW w:w="1134" w:type="dxa"/>
            <w:tcBorders>
              <w:top w:val="single" w:sz="4" w:space="0" w:color="000000"/>
              <w:bottom w:val="single" w:sz="4" w:space="0" w:color="000000"/>
            </w:tcBorders>
            <w:vAlign w:val="center"/>
          </w:tcPr>
          <w:p>
            <w:pPr>
              <w:pStyle w:val="Normal"/>
              <w:spacing w:lineRule="auto" w:line="240" w:before="0" w:after="0"/>
              <w:jc w:val="right"/>
              <w:rPr>
                <w:rFonts w:ascii="Arial" w:hAnsi="Arial" w:eastAsia="Garamond" w:cs="Arial"/>
                <w:b/>
                <w:b/>
                <w:lang w:val="uk-UA"/>
              </w:rPr>
            </w:pPr>
            <w:r>
              <w:rPr>
                <w:rFonts w:eastAsia="Garamond" w:cs="Arial" w:ascii="Arial" w:hAnsi="Arial"/>
                <w:b/>
                <w:lang w:val="uk-UA"/>
              </w:rPr>
              <w:t>169,457</w:t>
            </w:r>
          </w:p>
        </w:tc>
        <w:tc>
          <w:tcPr>
            <w:tcW w:w="1181" w:type="dxa"/>
            <w:tcBorders>
              <w:top w:val="single" w:sz="4" w:space="0" w:color="000000"/>
              <w:bottom w:val="single" w:sz="4" w:space="0" w:color="000000"/>
            </w:tcBorders>
            <w:vAlign w:val="center"/>
          </w:tcPr>
          <w:p>
            <w:pPr>
              <w:pStyle w:val="Normal"/>
              <w:spacing w:lineRule="auto" w:line="240" w:before="0" w:after="0"/>
              <w:jc w:val="right"/>
              <w:rPr>
                <w:rFonts w:ascii="Arial" w:hAnsi="Arial" w:eastAsia="Garamond" w:cs="Arial"/>
                <w:b/>
                <w:b/>
                <w:lang w:val="uk-UA"/>
              </w:rPr>
            </w:pPr>
            <w:r>
              <w:rPr>
                <w:rFonts w:eastAsia="Garamond" w:cs="Arial" w:ascii="Arial" w:hAnsi="Arial"/>
                <w:b/>
                <w:lang w:val="uk-UA"/>
              </w:rPr>
              <w:t>261,973</w:t>
            </w:r>
          </w:p>
        </w:tc>
        <w:tc>
          <w:tcPr>
            <w:tcW w:w="1177" w:type="dxa"/>
            <w:tcBorders>
              <w:top w:val="single" w:sz="4" w:space="0" w:color="000000"/>
              <w:bottom w:val="single" w:sz="4" w:space="0" w:color="000000"/>
            </w:tcBorders>
            <w:vAlign w:val="center"/>
          </w:tcPr>
          <w:p>
            <w:pPr>
              <w:pStyle w:val="Normal"/>
              <w:spacing w:lineRule="auto" w:line="240" w:before="0" w:after="0"/>
              <w:jc w:val="right"/>
              <w:rPr>
                <w:rFonts w:ascii="Arial" w:hAnsi="Arial" w:eastAsia="Garamond" w:cs="Arial"/>
                <w:b/>
                <w:b/>
                <w:lang w:val="uk-UA"/>
              </w:rPr>
            </w:pPr>
            <w:r>
              <w:rPr>
                <w:rFonts w:eastAsia="Garamond" w:cs="Arial" w:ascii="Arial" w:hAnsi="Arial"/>
                <w:b/>
                <w:lang w:val="uk-UA"/>
              </w:rPr>
              <w:t>711,886</w:t>
            </w:r>
          </w:p>
        </w:tc>
      </w:tr>
    </w:tbl>
    <w:p>
      <w:pPr>
        <w:pStyle w:val="Normal"/>
        <w:spacing w:lineRule="auto" w:line="240" w:before="0" w:after="0"/>
        <w:jc w:val="both"/>
        <w:rPr>
          <w:rFonts w:ascii="Arial" w:hAnsi="Arial" w:eastAsia="Garamond" w:cs="Arial"/>
          <w:sz w:val="6"/>
          <w:szCs w:val="6"/>
          <w:lang w:val="uk-UA"/>
        </w:rPr>
      </w:pPr>
      <w:r>
        <w:rPr>
          <w:rFonts w:eastAsia="Garamond" w:cs="Arial" w:ascii="Arial" w:hAnsi="Arial"/>
          <w:sz w:val="6"/>
          <w:szCs w:val="6"/>
          <w:lang w:val="uk-UA"/>
        </w:rPr>
      </w:r>
    </w:p>
    <w:p>
      <w:pPr>
        <w:pStyle w:val="Normal"/>
        <w:spacing w:lineRule="auto" w:line="240" w:before="0" w:after="0"/>
        <w:jc w:val="both"/>
        <w:rPr>
          <w:rFonts w:ascii="Arial" w:hAnsi="Arial" w:eastAsia="Garamond" w:cs="Arial"/>
          <w:sz w:val="24"/>
          <w:szCs w:val="24"/>
          <w:lang w:val="uk-UA"/>
        </w:rPr>
      </w:pPr>
      <w:r>
        <w:rPr>
          <w:rFonts w:eastAsia="Garamond" w:cs="Arial" w:ascii="Arial" w:hAnsi="Arial"/>
          <w:sz w:val="24"/>
          <w:szCs w:val="24"/>
          <w:lang w:val="uk-UA"/>
        </w:rPr>
        <w:t>Аналіз фінансових зобов’язань за контрактними строками погашення на 31 грудня 2018 р. був представлений наступним чином:</w:t>
      </w:r>
    </w:p>
    <w:tbl>
      <w:tblPr>
        <w:tblW w:w="9446" w:type="dxa"/>
        <w:jc w:val="left"/>
        <w:tblInd w:w="108" w:type="dxa"/>
        <w:tblCellMar>
          <w:top w:w="0" w:type="dxa"/>
          <w:left w:w="108" w:type="dxa"/>
          <w:bottom w:w="0" w:type="dxa"/>
          <w:right w:w="108" w:type="dxa"/>
        </w:tblCellMar>
        <w:tblLook w:firstRow="1" w:noVBand="0" w:lastRow="1" w:firstColumn="1" w:lastColumn="1" w:noHBand="0" w:val="01e0"/>
      </w:tblPr>
      <w:tblGrid>
        <w:gridCol w:w="3260"/>
        <w:gridCol w:w="1178"/>
        <w:gridCol w:w="1515"/>
        <w:gridCol w:w="1134"/>
        <w:gridCol w:w="1181"/>
        <w:gridCol w:w="1177"/>
      </w:tblGrid>
      <w:tr>
        <w:trPr>
          <w:trHeight w:val="20" w:hRule="atLeast"/>
        </w:trPr>
        <w:tc>
          <w:tcPr>
            <w:tcW w:w="3260" w:type="dxa"/>
            <w:tcBorders/>
            <w:vAlign w:val="center"/>
          </w:tcPr>
          <w:p>
            <w:pPr>
              <w:pStyle w:val="Normal"/>
              <w:spacing w:lineRule="auto" w:line="240" w:before="0" w:after="0"/>
              <w:jc w:val="center"/>
              <w:rPr>
                <w:rFonts w:ascii="Arial" w:hAnsi="Arial" w:cs="Arial"/>
                <w:lang w:val="uk-UA"/>
              </w:rPr>
            </w:pPr>
            <w:r>
              <w:rPr>
                <w:rFonts w:cs="Arial" w:ascii="Arial" w:hAnsi="Arial"/>
                <w:lang w:val="uk-UA"/>
              </w:rPr>
            </w:r>
          </w:p>
        </w:tc>
        <w:tc>
          <w:tcPr>
            <w:tcW w:w="1178" w:type="dxa"/>
            <w:tcBorders>
              <w:bottom w:val="single" w:sz="4" w:space="0" w:color="000000"/>
            </w:tcBorders>
            <w:vAlign w:val="center"/>
          </w:tcPr>
          <w:p>
            <w:pPr>
              <w:pStyle w:val="Normal"/>
              <w:spacing w:lineRule="auto" w:line="240" w:before="0" w:after="0"/>
              <w:ind w:left="-108" w:right="-108" w:hanging="0"/>
              <w:jc w:val="center"/>
              <w:rPr>
                <w:rFonts w:ascii="Arial" w:hAnsi="Arial" w:eastAsia="Garamond" w:cs="Arial"/>
                <w:lang w:val="uk-UA"/>
              </w:rPr>
            </w:pPr>
            <w:r>
              <w:rPr>
                <w:rFonts w:eastAsia="Garamond" w:cs="Arial" w:ascii="Arial" w:hAnsi="Arial"/>
                <w:b/>
                <w:bCs/>
                <w:lang w:val="uk-UA"/>
              </w:rPr>
              <w:t>За вимогою</w:t>
            </w:r>
          </w:p>
        </w:tc>
        <w:tc>
          <w:tcPr>
            <w:tcW w:w="1515" w:type="dxa"/>
            <w:tcBorders>
              <w:bottom w:val="single" w:sz="4" w:space="0" w:color="000000"/>
            </w:tcBorders>
            <w:vAlign w:val="center"/>
          </w:tcPr>
          <w:p>
            <w:pPr>
              <w:pStyle w:val="Normal"/>
              <w:spacing w:lineRule="auto" w:line="240" w:before="0" w:after="0"/>
              <w:ind w:left="-108" w:right="-108" w:hanging="0"/>
              <w:jc w:val="center"/>
              <w:rPr>
                <w:rFonts w:ascii="Arial" w:hAnsi="Arial" w:eastAsia="Garamond" w:cs="Arial"/>
                <w:b/>
                <w:b/>
                <w:bCs/>
                <w:lang w:val="uk-UA"/>
              </w:rPr>
            </w:pPr>
            <w:r>
              <w:rPr>
                <w:rFonts w:eastAsia="Garamond" w:cs="Arial" w:ascii="Arial" w:hAnsi="Arial"/>
                <w:b/>
                <w:bCs/>
                <w:lang w:val="uk-UA"/>
              </w:rPr>
              <w:t xml:space="preserve">Менше, </w:t>
            </w:r>
          </w:p>
          <w:p>
            <w:pPr>
              <w:pStyle w:val="Normal"/>
              <w:spacing w:lineRule="auto" w:line="240" w:before="0" w:after="0"/>
              <w:ind w:left="-108" w:right="-108" w:hanging="0"/>
              <w:jc w:val="center"/>
              <w:rPr>
                <w:rFonts w:ascii="Arial" w:hAnsi="Arial" w:eastAsia="Garamond" w:cs="Arial"/>
                <w:lang w:val="uk-UA"/>
              </w:rPr>
            </w:pPr>
            <w:r>
              <w:rPr>
                <w:rFonts w:eastAsia="Garamond" w:cs="Arial" w:ascii="Arial" w:hAnsi="Arial"/>
                <w:b/>
                <w:bCs/>
                <w:lang w:val="uk-UA"/>
              </w:rPr>
              <w:t>ніж 3 місяці</w:t>
            </w:r>
          </w:p>
        </w:tc>
        <w:tc>
          <w:tcPr>
            <w:tcW w:w="1134" w:type="dxa"/>
            <w:tcBorders>
              <w:bottom w:val="single" w:sz="4" w:space="0" w:color="000000"/>
            </w:tcBorders>
            <w:vAlign w:val="center"/>
          </w:tcPr>
          <w:p>
            <w:pPr>
              <w:pStyle w:val="Normal"/>
              <w:spacing w:lineRule="auto" w:line="240" w:before="0" w:after="0"/>
              <w:ind w:left="-108" w:right="-108" w:hanging="0"/>
              <w:jc w:val="center"/>
              <w:rPr>
                <w:rFonts w:ascii="Arial" w:hAnsi="Arial" w:eastAsia="Garamond" w:cs="Arial"/>
                <w:lang w:val="uk-UA"/>
              </w:rPr>
            </w:pPr>
            <w:r>
              <w:rPr>
                <w:rFonts w:eastAsia="Garamond" w:cs="Arial" w:ascii="Arial" w:hAnsi="Arial"/>
                <w:b/>
                <w:bCs/>
                <w:lang w:val="uk-UA"/>
              </w:rPr>
              <w:t>Від 3 до 12 місяців</w:t>
            </w:r>
          </w:p>
        </w:tc>
        <w:tc>
          <w:tcPr>
            <w:tcW w:w="1181" w:type="dxa"/>
            <w:tcBorders>
              <w:bottom w:val="single" w:sz="4" w:space="0" w:color="000000"/>
            </w:tcBorders>
            <w:vAlign w:val="center"/>
          </w:tcPr>
          <w:p>
            <w:pPr>
              <w:pStyle w:val="Normal"/>
              <w:spacing w:lineRule="auto" w:line="240" w:before="0" w:after="0"/>
              <w:ind w:left="-108" w:right="-108" w:hanging="0"/>
              <w:jc w:val="center"/>
              <w:rPr>
                <w:rFonts w:ascii="Arial" w:hAnsi="Arial" w:eastAsia="Garamond" w:cs="Arial"/>
                <w:lang w:val="uk-UA"/>
              </w:rPr>
            </w:pPr>
            <w:r>
              <w:rPr>
                <w:rFonts w:eastAsia="Garamond" w:cs="Arial" w:ascii="Arial" w:hAnsi="Arial"/>
                <w:b/>
                <w:bCs/>
                <w:lang w:val="uk-UA"/>
              </w:rPr>
              <w:t>Більше року</w:t>
            </w:r>
          </w:p>
        </w:tc>
        <w:tc>
          <w:tcPr>
            <w:tcW w:w="1177" w:type="dxa"/>
            <w:tcBorders>
              <w:bottom w:val="single" w:sz="4" w:space="0" w:color="000000"/>
            </w:tcBorders>
            <w:vAlign w:val="center"/>
          </w:tcPr>
          <w:p>
            <w:pPr>
              <w:pStyle w:val="Normal"/>
              <w:spacing w:lineRule="auto" w:line="240" w:before="0" w:after="0"/>
              <w:ind w:left="-108" w:right="-108" w:hanging="0"/>
              <w:jc w:val="center"/>
              <w:rPr>
                <w:rFonts w:ascii="Arial" w:hAnsi="Arial" w:eastAsia="Garamond" w:cs="Arial"/>
                <w:lang w:val="uk-UA"/>
              </w:rPr>
            </w:pPr>
            <w:r>
              <w:rPr>
                <w:rFonts w:eastAsia="Garamond" w:cs="Arial" w:ascii="Arial" w:hAnsi="Arial"/>
                <w:b/>
                <w:bCs/>
                <w:lang w:val="uk-UA"/>
              </w:rPr>
              <w:t>Всього</w:t>
            </w:r>
          </w:p>
        </w:tc>
      </w:tr>
      <w:tr>
        <w:trPr>
          <w:trHeight w:val="20" w:hRule="atLeast"/>
        </w:trPr>
        <w:tc>
          <w:tcPr>
            <w:tcW w:w="3260" w:type="dxa"/>
            <w:tcBorders/>
          </w:tcPr>
          <w:p>
            <w:pPr>
              <w:pStyle w:val="Normal"/>
              <w:spacing w:lineRule="auto" w:line="240" w:before="0" w:after="0"/>
              <w:ind w:left="-108" w:hanging="0"/>
              <w:rPr>
                <w:rFonts w:ascii="Arial" w:hAnsi="Arial" w:eastAsia="Garamond" w:cs="Arial"/>
                <w:lang w:val="uk-UA"/>
              </w:rPr>
            </w:pPr>
            <w:r>
              <w:rPr>
                <w:rFonts w:eastAsia="Garamond" w:cs="Arial" w:ascii="Arial" w:hAnsi="Arial"/>
                <w:lang w:val="uk-UA"/>
              </w:rPr>
              <w:t>Кредити та запозичення</w:t>
            </w:r>
          </w:p>
        </w:tc>
        <w:tc>
          <w:tcPr>
            <w:tcW w:w="1178" w:type="dxa"/>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w:t>
            </w:r>
          </w:p>
        </w:tc>
        <w:tc>
          <w:tcPr>
            <w:tcW w:w="1515" w:type="dxa"/>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w:t>
            </w:r>
          </w:p>
        </w:tc>
        <w:tc>
          <w:tcPr>
            <w:tcW w:w="1134" w:type="dxa"/>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18,910</w:t>
            </w:r>
          </w:p>
        </w:tc>
        <w:tc>
          <w:tcPr>
            <w:tcW w:w="1181" w:type="dxa"/>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162,136</w:t>
            </w:r>
          </w:p>
        </w:tc>
        <w:tc>
          <w:tcPr>
            <w:tcW w:w="1177" w:type="dxa"/>
            <w:tcBorders/>
            <w:vAlign w:val="center"/>
          </w:tcPr>
          <w:p>
            <w:pPr>
              <w:pStyle w:val="Normal"/>
              <w:spacing w:lineRule="auto" w:line="240" w:before="0" w:after="0"/>
              <w:jc w:val="right"/>
              <w:rPr>
                <w:rFonts w:ascii="Arial" w:hAnsi="Arial" w:eastAsia="Garamond" w:cs="Arial"/>
                <w:b/>
                <w:b/>
                <w:lang w:val="uk-UA"/>
              </w:rPr>
            </w:pPr>
            <w:r>
              <w:rPr>
                <w:rFonts w:eastAsia="Garamond" w:cs="Arial" w:ascii="Arial" w:hAnsi="Arial"/>
                <w:b/>
                <w:lang w:val="uk-UA"/>
              </w:rPr>
              <w:t>181,046</w:t>
            </w:r>
          </w:p>
        </w:tc>
      </w:tr>
      <w:tr>
        <w:trPr>
          <w:trHeight w:val="20" w:hRule="atLeast"/>
        </w:trPr>
        <w:tc>
          <w:tcPr>
            <w:tcW w:w="3260" w:type="dxa"/>
            <w:tcBorders/>
          </w:tcPr>
          <w:p>
            <w:pPr>
              <w:pStyle w:val="Normal"/>
              <w:spacing w:lineRule="auto" w:line="240" w:before="0" w:after="0"/>
              <w:ind w:left="-108" w:hanging="0"/>
              <w:jc w:val="both"/>
              <w:rPr>
                <w:rFonts w:ascii="Arial" w:hAnsi="Arial" w:eastAsia="Garamond" w:cs="Arial"/>
                <w:lang w:val="uk-UA"/>
              </w:rPr>
            </w:pPr>
            <w:r>
              <w:rPr>
                <w:rFonts w:eastAsia="Garamond" w:cs="Arial" w:ascii="Arial" w:hAnsi="Arial"/>
                <w:lang w:val="uk-UA"/>
              </w:rPr>
              <w:t>Торгова та інша кредиторська заборгованість</w:t>
            </w:r>
          </w:p>
        </w:tc>
        <w:tc>
          <w:tcPr>
            <w:tcW w:w="1178" w:type="dxa"/>
            <w:tcBorders>
              <w:bottom w:val="single" w:sz="4" w:space="0" w:color="000000"/>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113,849</w:t>
            </w:r>
          </w:p>
        </w:tc>
        <w:tc>
          <w:tcPr>
            <w:tcW w:w="1515" w:type="dxa"/>
            <w:tcBorders>
              <w:bottom w:val="single" w:sz="4" w:space="0" w:color="000000"/>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44,037</w:t>
            </w:r>
          </w:p>
        </w:tc>
        <w:tc>
          <w:tcPr>
            <w:tcW w:w="1134" w:type="dxa"/>
            <w:tcBorders>
              <w:bottom w:val="single" w:sz="4" w:space="0" w:color="000000"/>
            </w:tcBorders>
            <w:vAlign w:val="center"/>
          </w:tcPr>
          <w:p>
            <w:pPr>
              <w:pStyle w:val="Normal"/>
              <w:spacing w:lineRule="auto" w:line="240" w:before="0" w:after="0"/>
              <w:jc w:val="right"/>
              <w:rPr>
                <w:rFonts w:ascii="Arial" w:hAnsi="Arial" w:eastAsia="Garamond" w:cs="Arial"/>
                <w:lang w:val="uk-UA"/>
              </w:rPr>
            </w:pPr>
            <w:r>
              <w:rPr>
                <w:rFonts w:eastAsia="Garamond" w:cs="Arial" w:ascii="Arial" w:hAnsi="Arial"/>
                <w:lang w:val="uk-UA"/>
              </w:rPr>
              <w:t>272,691</w:t>
            </w:r>
          </w:p>
        </w:tc>
        <w:tc>
          <w:tcPr>
            <w:tcW w:w="1181" w:type="dxa"/>
            <w:tcBorders>
              <w:bottom w:val="single" w:sz="4" w:space="0" w:color="000000"/>
            </w:tcBorders>
            <w:vAlign w:val="center"/>
          </w:tcPr>
          <w:p>
            <w:pPr>
              <w:pStyle w:val="Normal"/>
              <w:spacing w:lineRule="auto" w:line="240" w:before="0" w:after="0"/>
              <w:jc w:val="right"/>
              <w:rPr>
                <w:rFonts w:ascii="Arial" w:hAnsi="Arial" w:cs="Arial"/>
                <w:lang w:val="uk-UA"/>
              </w:rPr>
            </w:pPr>
            <w:r>
              <w:rPr>
                <w:rFonts w:cs="Arial" w:ascii="Arial" w:hAnsi="Arial"/>
                <w:lang w:val="uk-UA"/>
              </w:rPr>
              <w:t>-</w:t>
            </w:r>
          </w:p>
        </w:tc>
        <w:tc>
          <w:tcPr>
            <w:tcW w:w="1177" w:type="dxa"/>
            <w:tcBorders>
              <w:bottom w:val="single" w:sz="4" w:space="0" w:color="000000"/>
            </w:tcBorders>
            <w:vAlign w:val="center"/>
          </w:tcPr>
          <w:p>
            <w:pPr>
              <w:pStyle w:val="Normal"/>
              <w:spacing w:lineRule="auto" w:line="240" w:before="0" w:after="0"/>
              <w:jc w:val="right"/>
              <w:rPr>
                <w:rFonts w:ascii="Arial" w:hAnsi="Arial" w:eastAsia="Garamond" w:cs="Arial"/>
                <w:b/>
                <w:b/>
                <w:lang w:val="uk-UA"/>
              </w:rPr>
            </w:pPr>
            <w:r>
              <w:rPr>
                <w:rFonts w:eastAsia="Garamond" w:cs="Arial" w:ascii="Arial" w:hAnsi="Arial"/>
                <w:b/>
                <w:lang w:val="uk-UA"/>
              </w:rPr>
              <w:t>430,577</w:t>
            </w:r>
          </w:p>
        </w:tc>
      </w:tr>
      <w:tr>
        <w:trPr>
          <w:trHeight w:val="20" w:hRule="atLeast"/>
        </w:trPr>
        <w:tc>
          <w:tcPr>
            <w:tcW w:w="3260" w:type="dxa"/>
            <w:tcBorders/>
          </w:tcPr>
          <w:p>
            <w:pPr>
              <w:pStyle w:val="Normal"/>
              <w:spacing w:lineRule="auto" w:line="240" w:before="0" w:after="0"/>
              <w:rPr>
                <w:rFonts w:ascii="Arial" w:hAnsi="Arial" w:cs="Arial"/>
                <w:lang w:val="uk-UA"/>
              </w:rPr>
            </w:pPr>
            <w:r>
              <w:rPr>
                <w:rFonts w:cs="Arial" w:ascii="Arial" w:hAnsi="Arial"/>
                <w:lang w:val="uk-UA"/>
              </w:rPr>
            </w:r>
          </w:p>
        </w:tc>
        <w:tc>
          <w:tcPr>
            <w:tcW w:w="1178" w:type="dxa"/>
            <w:tcBorders>
              <w:top w:val="single" w:sz="4" w:space="0" w:color="000000"/>
              <w:bottom w:val="single" w:sz="4" w:space="0" w:color="000000"/>
            </w:tcBorders>
            <w:vAlign w:val="center"/>
          </w:tcPr>
          <w:p>
            <w:pPr>
              <w:pStyle w:val="Normal"/>
              <w:spacing w:lineRule="auto" w:line="240" w:before="0" w:after="0"/>
              <w:jc w:val="right"/>
              <w:rPr>
                <w:rFonts w:ascii="Arial" w:hAnsi="Arial" w:eastAsia="Garamond" w:cs="Arial"/>
                <w:b/>
                <w:b/>
                <w:lang w:val="uk-UA"/>
              </w:rPr>
            </w:pPr>
            <w:r>
              <w:rPr>
                <w:rFonts w:eastAsia="Garamond" w:cs="Arial" w:ascii="Arial" w:hAnsi="Arial"/>
                <w:b/>
                <w:lang w:val="uk-UA"/>
              </w:rPr>
              <w:t>285,600</w:t>
            </w:r>
          </w:p>
        </w:tc>
        <w:tc>
          <w:tcPr>
            <w:tcW w:w="1515" w:type="dxa"/>
            <w:tcBorders>
              <w:top w:val="single" w:sz="4" w:space="0" w:color="000000"/>
              <w:bottom w:val="single" w:sz="4" w:space="0" w:color="000000"/>
            </w:tcBorders>
            <w:vAlign w:val="center"/>
          </w:tcPr>
          <w:p>
            <w:pPr>
              <w:pStyle w:val="Normal"/>
              <w:spacing w:lineRule="auto" w:line="240" w:before="0" w:after="0"/>
              <w:jc w:val="right"/>
              <w:rPr>
                <w:rFonts w:ascii="Arial" w:hAnsi="Arial" w:eastAsia="Garamond" w:cs="Arial"/>
                <w:b/>
                <w:b/>
                <w:lang w:val="uk-UA"/>
              </w:rPr>
            </w:pPr>
            <w:r>
              <w:rPr>
                <w:rFonts w:eastAsia="Garamond" w:cs="Arial" w:ascii="Arial" w:hAnsi="Arial"/>
                <w:b/>
                <w:lang w:val="uk-UA"/>
              </w:rPr>
              <w:t>1,657</w:t>
            </w:r>
          </w:p>
        </w:tc>
        <w:tc>
          <w:tcPr>
            <w:tcW w:w="1134" w:type="dxa"/>
            <w:tcBorders>
              <w:top w:val="single" w:sz="4" w:space="0" w:color="000000"/>
              <w:bottom w:val="single" w:sz="4" w:space="0" w:color="000000"/>
            </w:tcBorders>
            <w:vAlign w:val="center"/>
          </w:tcPr>
          <w:p>
            <w:pPr>
              <w:pStyle w:val="Normal"/>
              <w:spacing w:lineRule="auto" w:line="240" w:before="0" w:after="0"/>
              <w:jc w:val="right"/>
              <w:rPr>
                <w:rFonts w:ascii="Arial" w:hAnsi="Arial" w:eastAsia="Garamond" w:cs="Arial"/>
                <w:b/>
                <w:b/>
                <w:lang w:val="uk-UA"/>
              </w:rPr>
            </w:pPr>
            <w:r>
              <w:rPr>
                <w:rFonts w:eastAsia="Garamond" w:cs="Arial" w:ascii="Arial" w:hAnsi="Arial"/>
                <w:b/>
                <w:lang w:val="uk-UA"/>
              </w:rPr>
              <w:t>7,899</w:t>
            </w:r>
          </w:p>
        </w:tc>
        <w:tc>
          <w:tcPr>
            <w:tcW w:w="1181" w:type="dxa"/>
            <w:tcBorders>
              <w:top w:val="single" w:sz="4" w:space="0" w:color="000000"/>
              <w:bottom w:val="single" w:sz="4" w:space="0" w:color="000000"/>
            </w:tcBorders>
            <w:vAlign w:val="center"/>
          </w:tcPr>
          <w:p>
            <w:pPr>
              <w:pStyle w:val="Normal"/>
              <w:spacing w:lineRule="auto" w:line="240" w:before="0" w:after="0"/>
              <w:jc w:val="right"/>
              <w:rPr>
                <w:rFonts w:ascii="Arial" w:hAnsi="Arial" w:eastAsia="Garamond" w:cs="Arial"/>
                <w:b/>
                <w:b/>
                <w:lang w:val="uk-UA"/>
              </w:rPr>
            </w:pPr>
            <w:r>
              <w:rPr>
                <w:rFonts w:eastAsia="Garamond" w:cs="Arial" w:ascii="Arial" w:hAnsi="Arial"/>
                <w:b/>
                <w:lang w:val="uk-UA"/>
              </w:rPr>
              <w:t>39,766</w:t>
            </w:r>
          </w:p>
        </w:tc>
        <w:tc>
          <w:tcPr>
            <w:tcW w:w="1177" w:type="dxa"/>
            <w:tcBorders>
              <w:top w:val="single" w:sz="4" w:space="0" w:color="000000"/>
              <w:bottom w:val="single" w:sz="4" w:space="0" w:color="000000"/>
            </w:tcBorders>
            <w:vAlign w:val="center"/>
          </w:tcPr>
          <w:p>
            <w:pPr>
              <w:pStyle w:val="Normal"/>
              <w:spacing w:lineRule="auto" w:line="240" w:before="0" w:after="0"/>
              <w:jc w:val="right"/>
              <w:rPr>
                <w:rFonts w:ascii="Arial" w:hAnsi="Arial" w:eastAsia="Garamond" w:cs="Arial"/>
                <w:b/>
                <w:b/>
                <w:lang w:val="uk-UA"/>
              </w:rPr>
            </w:pPr>
            <w:r>
              <w:rPr>
                <w:rFonts w:eastAsia="Garamond" w:cs="Arial" w:ascii="Arial" w:hAnsi="Arial"/>
                <w:b/>
                <w:lang w:val="uk-UA"/>
              </w:rPr>
              <w:t>334,922</w:t>
            </w:r>
          </w:p>
        </w:tc>
      </w:tr>
    </w:tbl>
    <w:p>
      <w:pPr>
        <w:pStyle w:val="Normal"/>
        <w:spacing w:lineRule="auto" w:line="240" w:before="0" w:after="0"/>
        <w:jc w:val="both"/>
        <w:rPr>
          <w:rFonts w:ascii="Arial" w:hAnsi="Arial" w:eastAsia="Garamond" w:cs="Arial"/>
          <w:sz w:val="20"/>
          <w:szCs w:val="20"/>
          <w:lang w:val="uk-UA"/>
        </w:rPr>
      </w:pPr>
      <w:r>
        <w:rPr>
          <w:rFonts w:eastAsia="Garamond" w:cs="Arial" w:ascii="Arial" w:hAnsi="Arial"/>
          <w:sz w:val="20"/>
          <w:szCs w:val="20"/>
          <w:lang w:val="uk-UA"/>
        </w:rPr>
      </w:r>
    </w:p>
    <w:p>
      <w:pPr>
        <w:pStyle w:val="Normal"/>
        <w:spacing w:lineRule="auto" w:line="240" w:before="0" w:after="0"/>
        <w:jc w:val="both"/>
        <w:rPr>
          <w:rFonts w:ascii="Arial" w:hAnsi="Arial" w:eastAsia="Garamond" w:cs="Arial"/>
          <w:sz w:val="24"/>
          <w:szCs w:val="24"/>
          <w:lang w:val="uk-UA"/>
        </w:rPr>
      </w:pPr>
      <w:r>
        <w:rPr/>
      </w:r>
    </w:p>
    <w:sectPr>
      <w:headerReference w:type="default" r:id="rId2"/>
      <w:headerReference w:type="first" r:id="rId3"/>
      <w:footerReference w:type="default" r:id="rId4"/>
      <w:footerReference w:type="first" r:id="rId5"/>
      <w:type w:val="nextPage"/>
      <w:pgSz w:w="11906" w:h="16838"/>
      <w:pgMar w:left="1701" w:right="851" w:header="709" w:top="1134" w:footer="397" w:bottom="1134" w:gutter="0"/>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mbria">
    <w:charset w:val="cc"/>
    <w:family w:val="roman"/>
    <w:pitch w:val="variable"/>
  </w:font>
  <w:font w:name="Tahoma">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Garamond">
    <w:charset w:val="cc"/>
    <w:family w:val="roman"/>
    <w:pitch w:val="variable"/>
  </w:font>
  <w:font w:name="Arial">
    <w:charset w:val="01"/>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978831908"/>
    </w:sdtPr>
    <w:sdtContent>
      <w:p>
        <w:pPr>
          <w:pStyle w:val="Style25"/>
          <w:pBdr>
            <w:top w:val="single" w:sz="4" w:space="1" w:color="000000"/>
          </w:pBdr>
          <w:jc w:val="center"/>
          <w:rPr>
            <w:rFonts w:ascii="Arial" w:hAnsi="Arial" w:cs="Arial"/>
            <w:sz w:val="20"/>
            <w:szCs w:val="20"/>
          </w:rPr>
        </w:pPr>
        <w:r>
          <w:rPr/>
          <w:fldChar w:fldCharType="begin"/>
        </w:r>
        <w:r>
          <w:rPr/>
          <w:instrText> PAGE </w:instrText>
        </w:r>
        <w:r>
          <w:rPr/>
          <w:fldChar w:fldCharType="separate"/>
        </w:r>
        <w:r>
          <w:rPr/>
          <w:t>4</w:t>
        </w:r>
        <w:r>
          <w:rPr/>
          <w:fldChar w:fldCharType="end"/>
        </w:r>
      </w:p>
    </w:sdtContent>
  </w:sdt>
  <w:p>
    <w:pPr>
      <w:pStyle w:val="Normal"/>
      <w:spacing w:before="0" w:after="20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5"/>
      <w:rPr/>
    </w:pPr>
    <w:r>
      <w:rPr/>
    </w:r>
  </w:p>
  <w:p>
    <w:pPr>
      <w:pStyle w:val="Normal"/>
      <w:widowControl w:val="false"/>
      <w:bidi w:val="0"/>
      <w:spacing w:lineRule="auto" w:line="276" w:before="0" w:after="200"/>
      <w:jc w:val="left"/>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rPr/>
    </w:pPr>
    <w:r>
      <w:rPr/>
    </w:r>
  </w:p>
  <w:p>
    <w:pPr>
      <w:pStyle w:val="Normal"/>
      <w:widowControl w:val="false"/>
      <w:bidi w:val="0"/>
      <w:spacing w:lineRule="auto" w:line="276" w:before="0" w:after="200"/>
      <w:jc w:val="lef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Arial" w:hAnsi="Arial" w:cs="Arial" w:hint="default"/>
        <w:rFonts w:cs="Aria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5169d"/>
    <w:pPr>
      <w:widowControl w:val="false"/>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0"/>
    <w:uiPriority w:val="9"/>
    <w:qFormat/>
    <w:rsid w:val="007b1205"/>
    <w:pPr>
      <w:keepNext w:val="true"/>
      <w:keepLines/>
      <w:spacing w:before="480" w:after="0"/>
      <w:outlineLvl w:val="0"/>
    </w:pPr>
    <w:rPr>
      <w:rFonts w:ascii="Cambria" w:hAnsi="Cambria"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20"/>
    <w:uiPriority w:val="9"/>
    <w:semiHidden/>
    <w:unhideWhenUsed/>
    <w:qFormat/>
    <w:rsid w:val="007b1205"/>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30"/>
    <w:uiPriority w:val="9"/>
    <w:semiHidden/>
    <w:unhideWhenUsed/>
    <w:qFormat/>
    <w:rsid w:val="007b1205"/>
    <w:pPr>
      <w:keepNext w:val="true"/>
      <w:keepLines/>
      <w:spacing w:before="200" w:after="0"/>
      <w:outlineLvl w:val="2"/>
    </w:pPr>
    <w:rPr>
      <w:rFonts w:ascii="Cambria" w:hAnsi="Cambria" w:eastAsia="" w:cs="" w:asciiTheme="majorHAnsi" w:cstheme="majorBidi" w:eastAsiaTheme="majorEastAsia" w:hAnsiTheme="majorHAnsi"/>
      <w:b/>
      <w:bCs/>
      <w:color w:val="4F81BD" w:themeColor="accent1"/>
    </w:rPr>
  </w:style>
  <w:style w:type="character" w:styleId="DefaultParagraphFont" w:default="1">
    <w:name w:val="Default Paragraph Font"/>
    <w:uiPriority w:val="1"/>
    <w:semiHidden/>
    <w:unhideWhenUsed/>
    <w:qFormat/>
    <w:rPr/>
  </w:style>
  <w:style w:type="character" w:styleId="Style11" w:customStyle="1">
    <w:name w:val="Верхний колонтитул Знак"/>
    <w:basedOn w:val="DefaultParagraphFont"/>
    <w:link w:val="a3"/>
    <w:uiPriority w:val="99"/>
    <w:qFormat/>
    <w:rsid w:val="001e1dc6"/>
    <w:rPr/>
  </w:style>
  <w:style w:type="character" w:styleId="Style12" w:customStyle="1">
    <w:name w:val="Нижний колонтитул Знак"/>
    <w:basedOn w:val="DefaultParagraphFont"/>
    <w:link w:val="a5"/>
    <w:uiPriority w:val="99"/>
    <w:qFormat/>
    <w:rsid w:val="001e1dc6"/>
    <w:rPr/>
  </w:style>
  <w:style w:type="character" w:styleId="Style13" w:customStyle="1">
    <w:name w:val="Текст выноски Знак"/>
    <w:basedOn w:val="DefaultParagraphFont"/>
    <w:link w:val="aa"/>
    <w:uiPriority w:val="99"/>
    <w:semiHidden/>
    <w:qFormat/>
    <w:rsid w:val="009118ea"/>
    <w:rPr>
      <w:rFonts w:ascii="Tahoma" w:hAnsi="Tahoma" w:cs="Tahoma"/>
      <w:sz w:val="16"/>
      <w:szCs w:val="16"/>
    </w:rPr>
  </w:style>
  <w:style w:type="character" w:styleId="11" w:customStyle="1">
    <w:name w:val="Заголовок 1 Знак"/>
    <w:basedOn w:val="DefaultParagraphFont"/>
    <w:link w:val="1"/>
    <w:uiPriority w:val="9"/>
    <w:qFormat/>
    <w:rsid w:val="007b1205"/>
    <w:rPr>
      <w:rFonts w:ascii="Cambria" w:hAnsi="Cambria" w:eastAsia="" w:cs="" w:asciiTheme="majorHAnsi" w:cstheme="majorBidi" w:eastAsiaTheme="majorEastAsia" w:hAnsiTheme="majorHAnsi"/>
      <w:b/>
      <w:bCs/>
      <w:color w:val="365F91" w:themeColor="accent1" w:themeShade="bf"/>
      <w:sz w:val="28"/>
      <w:szCs w:val="28"/>
    </w:rPr>
  </w:style>
  <w:style w:type="character" w:styleId="21" w:customStyle="1">
    <w:name w:val="Заголовок 2 Знак"/>
    <w:basedOn w:val="DefaultParagraphFont"/>
    <w:link w:val="2"/>
    <w:uiPriority w:val="9"/>
    <w:semiHidden/>
    <w:qFormat/>
    <w:rsid w:val="007b1205"/>
    <w:rPr>
      <w:rFonts w:ascii="Cambria" w:hAnsi="Cambria" w:eastAsia="" w:cs="" w:asciiTheme="majorHAnsi" w:cstheme="majorBidi" w:eastAsiaTheme="majorEastAsia" w:hAnsiTheme="majorHAnsi"/>
      <w:b/>
      <w:bCs/>
      <w:color w:val="4F81BD" w:themeColor="accent1"/>
      <w:sz w:val="26"/>
      <w:szCs w:val="26"/>
    </w:rPr>
  </w:style>
  <w:style w:type="character" w:styleId="31" w:customStyle="1">
    <w:name w:val="Заголовок 3 Знак"/>
    <w:basedOn w:val="DefaultParagraphFont"/>
    <w:link w:val="3"/>
    <w:uiPriority w:val="9"/>
    <w:semiHidden/>
    <w:qFormat/>
    <w:rsid w:val="007b1205"/>
    <w:rPr>
      <w:rFonts w:ascii="Cambria" w:hAnsi="Cambria" w:eastAsia="" w:cs="" w:asciiTheme="majorHAnsi" w:cstheme="majorBidi" w:eastAsiaTheme="majorEastAsia" w:hAnsiTheme="majorHAnsi"/>
      <w:b/>
      <w:bCs/>
      <w:color w:val="4F81BD" w:themeColor="accent1"/>
    </w:rPr>
  </w:style>
  <w:style w:type="character" w:styleId="Style14">
    <w:name w:val="Гіперпосилання"/>
    <w:basedOn w:val="DefaultParagraphFont"/>
    <w:uiPriority w:val="99"/>
    <w:unhideWhenUsed/>
    <w:rsid w:val="007b1205"/>
    <w:rPr>
      <w:color w:val="0000FF" w:themeColor="hyperlink"/>
      <w:u w:val="single"/>
    </w:rPr>
  </w:style>
  <w:style w:type="character" w:styleId="Paragrapha" w:customStyle="1">
    <w:name w:val="Paragraph (a) Знак Знак"/>
    <w:basedOn w:val="DefaultParagraphFont"/>
    <w:link w:val="Paragrapha"/>
    <w:qFormat/>
    <w:rsid w:val="00f6100f"/>
    <w:rPr>
      <w:rFonts w:ascii="Times New Roman" w:hAnsi="Times New Roman" w:eastAsia="Times New Roman" w:cs="Times New Roman"/>
      <w:sz w:val="24"/>
      <w:szCs w:val="24"/>
      <w:lang w:val="en-GB" w:eastAsia="en-GB"/>
    </w:rPr>
  </w:style>
  <w:style w:type="character" w:styleId="Style15" w:customStyle="1">
    <w:name w:val="Название объекта Знак"/>
    <w:basedOn w:val="DefaultParagraphFont"/>
    <w:link w:val="af"/>
    <w:uiPriority w:val="35"/>
    <w:qFormat/>
    <w:locked/>
    <w:rsid w:val="00bf1001"/>
    <w:rPr>
      <w:rFonts w:ascii="Arial" w:hAnsi="Arial" w:eastAsia="Garamond" w:cs="Times New Roman"/>
      <w:sz w:val="24"/>
      <w:szCs w:val="24"/>
      <w:lang w:val="en-GB" w:eastAsia="sv-SE"/>
    </w:rPr>
  </w:style>
  <w:style w:type="character" w:styleId="Style16" w:customStyle="1">
    <w:name w:val="Основной текст Знак"/>
    <w:basedOn w:val="DefaultParagraphFont"/>
    <w:link w:val="af1"/>
    <w:qFormat/>
    <w:rsid w:val="00d16ca8"/>
    <w:rPr>
      <w:rFonts w:ascii="Arial" w:hAnsi="Arial" w:eastAsia="Times New Roman" w:cs="Arial"/>
      <w:lang w:val="uk-UA" w:eastAsia="ru-RU"/>
    </w:rPr>
  </w:style>
  <w:style w:type="character" w:styleId="Style17">
    <w:name w:val="Посилання покажчика"/>
    <w:qFormat/>
    <w:rPr/>
  </w:style>
  <w:style w:type="paragraph" w:styleId="Style18">
    <w:name w:val="Заголовок"/>
    <w:basedOn w:val="Normal"/>
    <w:next w:val="Style19"/>
    <w:qFormat/>
    <w:pPr>
      <w:keepNext w:val="true"/>
      <w:spacing w:before="240" w:after="120"/>
    </w:pPr>
    <w:rPr>
      <w:rFonts w:ascii="Liberation Sans" w:hAnsi="Liberation Sans" w:eastAsia="Microsoft YaHei" w:cs="Arial"/>
      <w:sz w:val="28"/>
      <w:szCs w:val="28"/>
    </w:rPr>
  </w:style>
  <w:style w:type="paragraph" w:styleId="Style19">
    <w:name w:val="Body Text"/>
    <w:basedOn w:val="Normal"/>
    <w:link w:val="af2"/>
    <w:rsid w:val="00d16ca8"/>
    <w:pPr>
      <w:widowControl/>
      <w:spacing w:lineRule="auto" w:line="240" w:before="60" w:after="120"/>
      <w:ind w:firstLine="851"/>
      <w:jc w:val="both"/>
    </w:pPr>
    <w:rPr>
      <w:rFonts w:ascii="Arial" w:hAnsi="Arial" w:eastAsia="Times New Roman" w:cs="Arial"/>
      <w:lang w:val="uk-UA" w:eastAsia="ru-RU"/>
    </w:rPr>
  </w:style>
  <w:style w:type="paragraph" w:styleId="Style20">
    <w:name w:val="List"/>
    <w:basedOn w:val="Style19"/>
    <w:pPr/>
    <w:rPr>
      <w:rFonts w:cs="Arial"/>
    </w:rPr>
  </w:style>
  <w:style w:type="paragraph" w:styleId="Style21">
    <w:name w:val="Caption"/>
    <w:basedOn w:val="Normal"/>
    <w:qFormat/>
    <w:pPr>
      <w:suppressLineNumbers/>
      <w:spacing w:before="120" w:after="120"/>
    </w:pPr>
    <w:rPr>
      <w:rFonts w:cs="Arial"/>
      <w:i/>
      <w:iCs/>
      <w:sz w:val="24"/>
      <w:szCs w:val="24"/>
    </w:rPr>
  </w:style>
  <w:style w:type="paragraph" w:styleId="Style22">
    <w:name w:val="Покажчик"/>
    <w:basedOn w:val="Normal"/>
    <w:qFormat/>
    <w:pPr>
      <w:suppressLineNumbers/>
    </w:pPr>
    <w:rPr>
      <w:rFonts w:cs="Arial"/>
    </w:rPr>
  </w:style>
  <w:style w:type="paragraph" w:styleId="Style23">
    <w:name w:val="Верхній і нижній колонтитули"/>
    <w:basedOn w:val="Normal"/>
    <w:qFormat/>
    <w:pPr/>
    <w:rPr/>
  </w:style>
  <w:style w:type="paragraph" w:styleId="Style24">
    <w:name w:val="Header"/>
    <w:basedOn w:val="Normal"/>
    <w:link w:val="a4"/>
    <w:uiPriority w:val="99"/>
    <w:unhideWhenUsed/>
    <w:rsid w:val="001e1dc6"/>
    <w:pPr>
      <w:tabs>
        <w:tab w:val="clear" w:pos="720"/>
        <w:tab w:val="center" w:pos="4677" w:leader="none"/>
        <w:tab w:val="right" w:pos="9355" w:leader="none"/>
      </w:tabs>
      <w:spacing w:lineRule="auto" w:line="240" w:before="0" w:after="0"/>
    </w:pPr>
    <w:rPr/>
  </w:style>
  <w:style w:type="paragraph" w:styleId="Style25">
    <w:name w:val="Footer"/>
    <w:basedOn w:val="Normal"/>
    <w:link w:val="a6"/>
    <w:uiPriority w:val="99"/>
    <w:unhideWhenUsed/>
    <w:rsid w:val="001e1dc6"/>
    <w:pPr>
      <w:tabs>
        <w:tab w:val="clear" w:pos="720"/>
        <w:tab w:val="center" w:pos="4677" w:leader="none"/>
        <w:tab w:val="right" w:pos="9355" w:leader="none"/>
      </w:tabs>
      <w:spacing w:lineRule="auto" w:line="240" w:before="0" w:after="0"/>
    </w:pPr>
    <w:rPr/>
  </w:style>
  <w:style w:type="paragraph" w:styleId="ListParagraph">
    <w:name w:val="List Paragraph"/>
    <w:basedOn w:val="Normal"/>
    <w:uiPriority w:val="34"/>
    <w:qFormat/>
    <w:rsid w:val="00ea0564"/>
    <w:pPr>
      <w:spacing w:before="0" w:after="200"/>
      <w:ind w:left="720" w:hanging="0"/>
      <w:contextualSpacing/>
    </w:pPr>
    <w:rPr/>
  </w:style>
  <w:style w:type="paragraph" w:styleId="NormalWeb">
    <w:name w:val="Normal (Web)"/>
    <w:basedOn w:val="Normal"/>
    <w:unhideWhenUsed/>
    <w:qFormat/>
    <w:rsid w:val="004b7482"/>
    <w:pPr>
      <w:widowControl/>
      <w:spacing w:lineRule="auto" w:line="240" w:beforeAutospacing="1" w:afterAutospacing="1"/>
    </w:pPr>
    <w:rPr>
      <w:rFonts w:ascii="Times New Roman" w:hAnsi="Times New Roman" w:eastAsia="Times New Roman" w:cs="Times New Roman"/>
      <w:sz w:val="24"/>
      <w:szCs w:val="24"/>
      <w:lang w:val="ru-RU" w:eastAsia="ru-RU"/>
    </w:rPr>
  </w:style>
  <w:style w:type="paragraph" w:styleId="22" w:customStyle="1">
    <w:name w:val="Обычный2"/>
    <w:qFormat/>
    <w:rsid w:val="004b7482"/>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uk-UA" w:eastAsia="ru-RU" w:bidi="ar-SA"/>
    </w:rPr>
  </w:style>
  <w:style w:type="paragraph" w:styleId="BalloonText">
    <w:name w:val="Balloon Text"/>
    <w:basedOn w:val="Normal"/>
    <w:link w:val="ab"/>
    <w:uiPriority w:val="99"/>
    <w:semiHidden/>
    <w:unhideWhenUsed/>
    <w:qFormat/>
    <w:rsid w:val="009118ea"/>
    <w:pPr>
      <w:spacing w:lineRule="auto" w:line="240" w:before="0" w:after="0"/>
    </w:pPr>
    <w:rPr>
      <w:rFonts w:ascii="Tahoma" w:hAnsi="Tahoma" w:cs="Tahoma"/>
      <w:sz w:val="16"/>
      <w:szCs w:val="16"/>
    </w:rPr>
  </w:style>
  <w:style w:type="paragraph" w:styleId="Style26" w:customStyle="1">
    <w:name w:val="Раздел"/>
    <w:basedOn w:val="Normal"/>
    <w:next w:val="Normal"/>
    <w:qFormat/>
    <w:rsid w:val="007b1205"/>
    <w:pPr>
      <w:spacing w:lineRule="auto" w:line="240" w:before="0" w:after="0"/>
      <w:jc w:val="both"/>
    </w:pPr>
    <w:rPr>
      <w:rFonts w:ascii="Garamond" w:hAnsi="Garamond"/>
      <w:b/>
      <w:caps/>
      <w:sz w:val="24"/>
      <w:szCs w:val="24"/>
      <w:lang w:val="uk-UA"/>
    </w:rPr>
  </w:style>
  <w:style w:type="paragraph" w:styleId="Style27" w:customStyle="1">
    <w:name w:val="Пункт"/>
    <w:basedOn w:val="Normal"/>
    <w:next w:val="Normal"/>
    <w:qFormat/>
    <w:rsid w:val="007b1205"/>
    <w:pPr>
      <w:tabs>
        <w:tab w:val="clear" w:pos="720"/>
        <w:tab w:val="left" w:pos="567" w:leader="none"/>
      </w:tabs>
      <w:spacing w:lineRule="auto" w:line="240" w:before="0" w:after="0"/>
      <w:jc w:val="both"/>
    </w:pPr>
    <w:rPr>
      <w:rFonts w:ascii="Garamond" w:hAnsi="Garamond"/>
      <w:b/>
      <w:sz w:val="24"/>
    </w:rPr>
  </w:style>
  <w:style w:type="paragraph" w:styleId="12">
    <w:name w:val="TOC 1"/>
    <w:basedOn w:val="Normal"/>
    <w:next w:val="Normal"/>
    <w:autoRedefine/>
    <w:uiPriority w:val="39"/>
    <w:unhideWhenUsed/>
    <w:rsid w:val="00c04dd2"/>
    <w:pPr>
      <w:tabs>
        <w:tab w:val="clear" w:pos="720"/>
        <w:tab w:val="right" w:pos="9345" w:leader="hyphen"/>
      </w:tabs>
      <w:spacing w:before="0" w:after="100"/>
    </w:pPr>
    <w:rPr>
      <w:rFonts w:ascii="Arial" w:hAnsi="Arial" w:cs="Arial"/>
    </w:rPr>
  </w:style>
  <w:style w:type="paragraph" w:styleId="23">
    <w:name w:val="TOC 2"/>
    <w:basedOn w:val="Normal"/>
    <w:next w:val="Normal"/>
    <w:autoRedefine/>
    <w:uiPriority w:val="39"/>
    <w:unhideWhenUsed/>
    <w:rsid w:val="00da1b8d"/>
    <w:pPr>
      <w:tabs>
        <w:tab w:val="clear" w:pos="720"/>
        <w:tab w:val="right" w:pos="9345" w:leader="hyphen"/>
      </w:tabs>
      <w:spacing w:before="0" w:after="100"/>
      <w:ind w:left="220" w:hanging="0"/>
    </w:pPr>
    <w:rPr>
      <w:rFonts w:ascii="Arial" w:hAnsi="Arial" w:cs="Arial"/>
      <w:lang w:val="uk-UA"/>
    </w:rPr>
  </w:style>
  <w:style w:type="paragraph" w:styleId="13" w:customStyle="1">
    <w:name w:val="Обычный1"/>
    <w:qFormat/>
    <w:rsid w:val="002579d1"/>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uk-UA" w:eastAsia="ru-RU" w:bidi="ar-SA"/>
    </w:rPr>
  </w:style>
  <w:style w:type="paragraph" w:styleId="Paragrapha1" w:customStyle="1">
    <w:name w:val="Paragraph (a) Знак"/>
    <w:basedOn w:val="Normal"/>
    <w:link w:val="Paragrapha0"/>
    <w:qFormat/>
    <w:rsid w:val="00f6100f"/>
    <w:pPr>
      <w:widowControl/>
      <w:tabs>
        <w:tab w:val="clear" w:pos="720"/>
        <w:tab w:val="left" w:pos="567" w:leader="none"/>
        <w:tab w:val="left" w:pos="1134" w:leader="none"/>
        <w:tab w:val="left" w:pos="1701" w:leader="none"/>
        <w:tab w:val="left" w:pos="2268" w:leader="none"/>
        <w:tab w:val="left" w:pos="2835" w:leader="none"/>
        <w:tab w:val="left" w:pos="3402" w:leader="none"/>
        <w:tab w:val="left" w:pos="3969" w:leader="none"/>
        <w:tab w:val="left" w:pos="4536" w:leader="none"/>
        <w:tab w:val="left" w:pos="5103" w:leader="none"/>
        <w:tab w:val="left" w:pos="5670" w:leader="none"/>
        <w:tab w:val="left" w:pos="6237" w:leader="none"/>
        <w:tab w:val="left" w:pos="6804" w:leader="none"/>
        <w:tab w:val="left" w:pos="7371" w:leader="none"/>
        <w:tab w:val="left" w:pos="7938" w:leader="none"/>
      </w:tabs>
      <w:spacing w:lineRule="auto" w:line="240" w:before="240" w:after="0"/>
      <w:jc w:val="both"/>
    </w:pPr>
    <w:rPr>
      <w:rFonts w:ascii="Times New Roman" w:hAnsi="Times New Roman" w:eastAsia="Times New Roman" w:cs="Times New Roman"/>
      <w:sz w:val="24"/>
      <w:szCs w:val="24"/>
      <w:lang w:val="en-GB" w:eastAsia="en-GB"/>
    </w:rPr>
  </w:style>
  <w:style w:type="paragraph" w:styleId="Caption">
    <w:name w:val="caption"/>
    <w:basedOn w:val="Normal"/>
    <w:next w:val="Normal"/>
    <w:link w:val="af0"/>
    <w:autoRedefine/>
    <w:uiPriority w:val="35"/>
    <w:qFormat/>
    <w:rsid w:val="00bf1001"/>
    <w:pPr>
      <w:spacing w:lineRule="auto" w:line="240" w:before="0" w:after="0"/>
      <w:jc w:val="both"/>
    </w:pPr>
    <w:rPr>
      <w:rFonts w:ascii="Arial" w:hAnsi="Arial" w:eastAsia="Garamond" w:cs="Times New Roman"/>
      <w:sz w:val="24"/>
      <w:szCs w:val="24"/>
      <w:lang w:val="en-GB" w:eastAsia="sv-SE"/>
    </w:rPr>
  </w:style>
  <w:style w:type="paragraph" w:styleId="32" w:customStyle="1">
    <w:name w:val="Обычный3"/>
    <w:qFormat/>
    <w:rsid w:val="00db1771"/>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uk-UA" w:eastAsia="ru-RU" w:bidi="ar-SA"/>
    </w:rPr>
  </w:style>
  <w:style w:type="paragraph" w:styleId="Default" w:customStyle="1">
    <w:name w:val="Default"/>
    <w:qFormat/>
    <w:rsid w:val="005f2c64"/>
    <w:pPr>
      <w:widowControl/>
      <w:suppressAutoHyphens w:val="true"/>
      <w:bidi w:val="0"/>
      <w:spacing w:lineRule="auto" w:line="240" w:before="0" w:after="0"/>
      <w:jc w:val="left"/>
    </w:pPr>
    <w:rPr>
      <w:rFonts w:ascii="Times New Roman" w:hAnsi="Times New Roman" w:eastAsia="Calibri" w:cs="Times New Roman"/>
      <w:color w:val="000000"/>
      <w:kern w:val="0"/>
      <w:sz w:val="24"/>
      <w:szCs w:val="24"/>
      <w:lang w:val="ru-RU" w:eastAsia="en-US" w:bidi="ar-SA"/>
    </w:rPr>
  </w:style>
  <w:style w:type="paragraph" w:styleId="4" w:customStyle="1">
    <w:name w:val="Обычный4"/>
    <w:qFormat/>
    <w:rsid w:val="00ca3f95"/>
    <w:pPr>
      <w:widowControl w:val="false"/>
      <w:suppressAutoHyphens w:val="true"/>
      <w:bidi w:val="0"/>
      <w:spacing w:lineRule="auto" w:line="240" w:before="0" w:after="0"/>
      <w:jc w:val="left"/>
    </w:pPr>
    <w:rPr>
      <w:rFonts w:ascii="Times New Roman" w:hAnsi="Times New Roman" w:eastAsia="Times New Roman" w:cs="Times New Roman"/>
      <w:b/>
      <w:color w:val="auto"/>
      <w:kern w:val="0"/>
      <w:sz w:val="20"/>
      <w:szCs w:val="20"/>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7">
    <w:name w:val="Table Grid"/>
    <w:basedOn w:val="a1"/>
    <w:uiPriority w:val="59"/>
    <w:rsid w:val="00ef17c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7EAC61-BE49-43FA-B7B7-23AEDB396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2096</TotalTime>
  <Application>LibreOffice/6.4.4.2$Windows_x86 LibreOffice_project/3d775be2011f3886db32dfd395a6a6d1ca2630ff</Application>
  <Pages>4</Pages>
  <Words>1213</Words>
  <Characters>7871</Characters>
  <CharactersWithSpaces>8863</CharactersWithSpaces>
  <Paragraphs>222</Paragraphs>
  <Company>Home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2020-04-28T14:10:00Z</dcterms:created>
  <dc:creator>Gryaznykh</dc:creator>
  <dc:description/>
  <dc:language>uk-UA</dc:language>
  <cp:lastModifiedBy/>
  <cp:lastPrinted>2020-06-01T09:19:00Z</cp:lastPrinted>
  <dcterms:modified xsi:type="dcterms:W3CDTF">2020-10-20T09:54:21Z</dcterms:modified>
  <cp:revision>181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Home</vt:lpwstr>
  </property>
  <property fmtid="{D5CDD505-2E9C-101B-9397-08002B2CF9AE}" pid="4" name="Created">
    <vt:filetime>2013-08-30T00:00:00Z</vt:filetime>
  </property>
  <property fmtid="{D5CDD505-2E9C-101B-9397-08002B2CF9AE}" pid="5" name="DocSecurity">
    <vt:i4>0</vt:i4>
  </property>
  <property fmtid="{D5CDD505-2E9C-101B-9397-08002B2CF9AE}" pid="6" name="HyperlinksChanged">
    <vt:bool>0</vt:bool>
  </property>
  <property fmtid="{D5CDD505-2E9C-101B-9397-08002B2CF9AE}" pid="7" name="LastSaved">
    <vt:filetime>2014-05-13T00:00:00Z</vt:filetime>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ies>
</file>