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6AF" w:rsidRDefault="00F566AF">
      <w:pPr>
        <w:pStyle w:val="BodyText"/>
        <w:spacing w:after="0"/>
        <w:ind w:firstLine="709"/>
        <w:jc w:val="center"/>
      </w:pPr>
      <w:r>
        <w:rPr>
          <w:rStyle w:val="a"/>
          <w:b/>
          <w:color w:val="000000"/>
          <w:sz w:val="28"/>
          <w:szCs w:val="28"/>
        </w:rPr>
        <w:t>МІСЦЕВІ ПРАВИЛА</w:t>
      </w:r>
      <w:r>
        <w:rPr>
          <w:rStyle w:val="a"/>
          <w:color w:val="000000"/>
          <w:sz w:val="28"/>
          <w:szCs w:val="28"/>
        </w:rPr>
        <w:br/>
      </w:r>
      <w:r>
        <w:rPr>
          <w:rStyle w:val="a"/>
          <w:b/>
          <w:color w:val="000000"/>
          <w:sz w:val="28"/>
          <w:szCs w:val="28"/>
        </w:rPr>
        <w:t>приймання стічних вод до систем централізованого водовідведення міста Тернопіль</w:t>
      </w:r>
    </w:p>
    <w:p w:rsidR="00F566AF" w:rsidRDefault="00F566AF">
      <w:pPr>
        <w:pStyle w:val="BodyText"/>
        <w:spacing w:after="0"/>
        <w:ind w:firstLine="709"/>
        <w:jc w:val="both"/>
        <w:rPr>
          <w:b/>
          <w:color w:val="000000"/>
          <w:sz w:val="28"/>
          <w:szCs w:val="28"/>
        </w:rPr>
      </w:pPr>
    </w:p>
    <w:tbl>
      <w:tblPr>
        <w:tblW w:w="14788" w:type="dxa"/>
        <w:tblInd w:w="-5" w:type="dxa"/>
        <w:tblBorders>
          <w:top w:val="single" w:sz="2" w:space="0" w:color="000001"/>
          <w:left w:val="single" w:sz="2" w:space="0" w:color="000001"/>
          <w:bottom w:val="single" w:sz="2" w:space="0" w:color="000001"/>
          <w:insideH w:val="single" w:sz="2" w:space="0" w:color="000001"/>
        </w:tblBorders>
        <w:tblCellMar>
          <w:top w:w="55" w:type="dxa"/>
          <w:left w:w="12" w:type="dxa"/>
          <w:bottom w:w="55" w:type="dxa"/>
          <w:right w:w="55" w:type="dxa"/>
        </w:tblCellMar>
        <w:tblLook w:val="0000"/>
      </w:tblPr>
      <w:tblGrid>
        <w:gridCol w:w="33"/>
        <w:gridCol w:w="1173"/>
        <w:gridCol w:w="6511"/>
        <w:gridCol w:w="7071"/>
      </w:tblGrid>
      <w:tr w:rsidR="00F566AF">
        <w:tc>
          <w:tcPr>
            <w:tcW w:w="1175" w:type="dxa"/>
            <w:gridSpan w:val="2"/>
            <w:tcMar>
              <w:left w:w="12" w:type="dxa"/>
            </w:tcMar>
          </w:tcPr>
          <w:p w:rsidR="00F566AF" w:rsidRDefault="00F566AF">
            <w:pPr>
              <w:pStyle w:val="a9"/>
              <w:jc w:val="center"/>
              <w:rPr>
                <w:b/>
                <w:bCs/>
                <w:sz w:val="20"/>
                <w:szCs w:val="20"/>
              </w:rPr>
            </w:pPr>
            <w:r>
              <w:rPr>
                <w:b/>
                <w:bCs/>
                <w:sz w:val="20"/>
                <w:szCs w:val="20"/>
              </w:rPr>
              <w:t>Пункт</w:t>
            </w:r>
          </w:p>
        </w:tc>
        <w:tc>
          <w:tcPr>
            <w:tcW w:w="6525" w:type="dxa"/>
            <w:tcBorders>
              <w:left w:val="single" w:sz="2" w:space="0" w:color="000001"/>
            </w:tcBorders>
            <w:tcMar>
              <w:left w:w="12" w:type="dxa"/>
            </w:tcMar>
          </w:tcPr>
          <w:p w:rsidR="00F566AF" w:rsidRDefault="00F566AF">
            <w:pPr>
              <w:pStyle w:val="a9"/>
              <w:jc w:val="center"/>
              <w:rPr>
                <w:b/>
                <w:bCs/>
                <w:sz w:val="20"/>
                <w:szCs w:val="20"/>
              </w:rPr>
            </w:pPr>
            <w:r>
              <w:rPr>
                <w:b/>
                <w:bCs/>
                <w:sz w:val="20"/>
                <w:szCs w:val="20"/>
              </w:rPr>
              <w:t>Чинна редакція</w:t>
            </w:r>
          </w:p>
        </w:tc>
        <w:tc>
          <w:tcPr>
            <w:tcW w:w="7088" w:type="dxa"/>
            <w:tcBorders>
              <w:left w:val="single" w:sz="2" w:space="0" w:color="000001"/>
              <w:right w:val="single" w:sz="2" w:space="0" w:color="000001"/>
            </w:tcBorders>
            <w:tcMar>
              <w:left w:w="12" w:type="dxa"/>
            </w:tcMar>
          </w:tcPr>
          <w:p w:rsidR="00F566AF" w:rsidRDefault="00F566AF">
            <w:pPr>
              <w:pStyle w:val="a9"/>
              <w:jc w:val="center"/>
              <w:rPr>
                <w:b/>
                <w:bCs/>
                <w:sz w:val="20"/>
                <w:szCs w:val="20"/>
              </w:rPr>
            </w:pPr>
            <w:r>
              <w:rPr>
                <w:b/>
                <w:bCs/>
                <w:sz w:val="20"/>
                <w:szCs w:val="20"/>
              </w:rPr>
              <w:t>Пропонована редакція</w:t>
            </w:r>
          </w:p>
        </w:tc>
      </w:tr>
      <w:tr w:rsidR="00F566AF">
        <w:tc>
          <w:tcPr>
            <w:tcW w:w="14788" w:type="dxa"/>
            <w:gridSpan w:val="4"/>
            <w:tcBorders>
              <w:right w:val="single" w:sz="2" w:space="0" w:color="000001"/>
            </w:tcBorders>
            <w:tcMar>
              <w:left w:w="12" w:type="dxa"/>
            </w:tcMar>
          </w:tcPr>
          <w:p w:rsidR="00F566AF" w:rsidRDefault="00F566AF">
            <w:pPr>
              <w:pStyle w:val="BodyText"/>
              <w:spacing w:after="0"/>
              <w:ind w:firstLine="709"/>
              <w:jc w:val="center"/>
              <w:rPr>
                <w:b/>
                <w:color w:val="000000"/>
                <w:sz w:val="20"/>
                <w:szCs w:val="20"/>
              </w:rPr>
            </w:pPr>
            <w:r>
              <w:rPr>
                <w:b/>
                <w:color w:val="000000"/>
                <w:sz w:val="20"/>
                <w:szCs w:val="20"/>
              </w:rPr>
              <w:t>І. Загальні положення</w:t>
            </w:r>
          </w:p>
        </w:tc>
      </w:tr>
      <w:tr w:rsidR="00F566AF">
        <w:tc>
          <w:tcPr>
            <w:tcW w:w="1175" w:type="dxa"/>
            <w:gridSpan w:val="2"/>
            <w:tcMar>
              <w:left w:w="12" w:type="dxa"/>
            </w:tcMar>
          </w:tcPr>
          <w:p w:rsidR="00F566AF" w:rsidRDefault="00F566AF">
            <w:pPr>
              <w:pStyle w:val="a9"/>
              <w:rPr>
                <w:sz w:val="20"/>
                <w:szCs w:val="20"/>
              </w:rPr>
            </w:pPr>
            <w:r>
              <w:rPr>
                <w:sz w:val="20"/>
                <w:szCs w:val="20"/>
              </w:rPr>
              <w:t>2</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Ці Правила поширюються на суб'єктів господарювання, які надають послуги з централізованого водовідведення (відведення та/або очищення стічних вод) (далі - виробники),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Податковим кодексом України, які скидають стічні води до систем централізованого водовідведення або безпосередньо у каналізаційні очисні споруди (далі — споживачі).</w:t>
            </w:r>
          </w:p>
          <w:p w:rsidR="00F566AF" w:rsidRDefault="00F566AF">
            <w:pPr>
              <w:pStyle w:val="BodyText"/>
              <w:spacing w:after="0"/>
              <w:ind w:firstLine="709"/>
              <w:jc w:val="both"/>
              <w:rPr>
                <w:color w:val="000000"/>
                <w:sz w:val="20"/>
                <w:szCs w:val="20"/>
              </w:rPr>
            </w:pPr>
            <w:r>
              <w:rPr>
                <w:color w:val="000000"/>
                <w:sz w:val="20"/>
                <w:szCs w:val="20"/>
              </w:rPr>
              <w:t>Ці Правила поширюються на усіх споживачів, які скидають стічні води до систем централізованого водовідведення міста Тернопіль, як тих, що знаходяться в місті Тернопіль, так і тих, що знаходяться поза межами міста Тернопіль, незалежно від місця знаходження об’єктів водовідведення.</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b/>
                <w:bCs/>
                <w:color w:val="000000"/>
                <w:sz w:val="20"/>
                <w:szCs w:val="20"/>
              </w:rPr>
              <w:t>За суб’єктним складом</w:t>
            </w:r>
            <w:r>
              <w:rPr>
                <w:color w:val="000000"/>
                <w:sz w:val="20"/>
                <w:szCs w:val="20"/>
              </w:rPr>
              <w:t xml:space="preserve"> ці Правила поширюються на суб'єктів господарювання, які надають послуги з централізованого водовідведення (відведення та/або очищення стічних вод) (далі - виробники), на юридичних осіб незалежно від форм власності та відомчої належності, фізичних осіб - підприємців, фізичних осіб, які провадять незалежну професійну діяльність і взяті на облік як самозайняті особи у контролюючих органах згідно з Податковим кодексом України, які скидають стічні води до систем централізованого водовідведення або безпосередньо у каналізаційні очисні споруди (далі — споживачі).</w:t>
            </w:r>
          </w:p>
          <w:p w:rsidR="00F566AF" w:rsidRDefault="00F566AF">
            <w:pPr>
              <w:pStyle w:val="BodyText"/>
              <w:spacing w:after="0"/>
              <w:ind w:firstLine="709"/>
              <w:jc w:val="both"/>
            </w:pPr>
            <w:r>
              <w:rPr>
                <w:b/>
                <w:bCs/>
                <w:color w:val="000000"/>
                <w:sz w:val="20"/>
                <w:szCs w:val="20"/>
              </w:rPr>
              <w:t xml:space="preserve">За територіальною ознакою </w:t>
            </w:r>
            <w:r>
              <w:rPr>
                <w:color w:val="000000"/>
                <w:sz w:val="20"/>
                <w:szCs w:val="20"/>
              </w:rPr>
              <w:t xml:space="preserve">ці Правила поширюються на усіх споживачів, які скидають стічні води до систем централізованого водовідведення міста Тернопіль, як тих, що знаходяться в місті Тернопіль </w:t>
            </w:r>
            <w:r w:rsidRPr="007C4EF1">
              <w:rPr>
                <w:b/>
                <w:bCs/>
                <w:color w:val="000000"/>
                <w:sz w:val="20"/>
                <w:szCs w:val="20"/>
              </w:rPr>
              <w:t>(</w:t>
            </w:r>
            <w:r>
              <w:rPr>
                <w:b/>
                <w:bCs/>
                <w:color w:val="000000"/>
                <w:sz w:val="20"/>
                <w:szCs w:val="20"/>
              </w:rPr>
              <w:t>громади</w:t>
            </w:r>
            <w:r w:rsidRPr="007C4EF1">
              <w:rPr>
                <w:b/>
                <w:bCs/>
                <w:color w:val="000000"/>
                <w:sz w:val="20"/>
                <w:szCs w:val="20"/>
              </w:rPr>
              <w:t>)</w:t>
            </w:r>
            <w:r>
              <w:rPr>
                <w:color w:val="000000"/>
                <w:sz w:val="20"/>
                <w:szCs w:val="20"/>
              </w:rPr>
              <w:t xml:space="preserve">, так і тих, що знаходяться поза межами міста Тернопіль </w:t>
            </w:r>
            <w:r>
              <w:rPr>
                <w:b/>
                <w:bCs/>
                <w:color w:val="000000"/>
                <w:sz w:val="20"/>
                <w:szCs w:val="20"/>
              </w:rPr>
              <w:t>(громади)</w:t>
            </w:r>
            <w:r>
              <w:rPr>
                <w:color w:val="000000"/>
                <w:sz w:val="20"/>
                <w:szCs w:val="20"/>
              </w:rPr>
              <w:t>, незалежно від місця знаходження об’єктів водовідведення.</w:t>
            </w:r>
          </w:p>
        </w:tc>
      </w:tr>
      <w:tr w:rsidR="00F566AF">
        <w:tc>
          <w:tcPr>
            <w:tcW w:w="14788" w:type="dxa"/>
            <w:gridSpan w:val="4"/>
            <w:tcBorders>
              <w:right w:val="single" w:sz="2" w:space="0" w:color="000001"/>
            </w:tcBorders>
            <w:tcMar>
              <w:left w:w="12" w:type="dxa"/>
            </w:tcMar>
          </w:tcPr>
          <w:p w:rsidR="00F566AF" w:rsidRDefault="00F566AF">
            <w:pPr>
              <w:pStyle w:val="BodyText"/>
              <w:spacing w:after="0"/>
              <w:ind w:firstLine="709"/>
              <w:jc w:val="center"/>
              <w:rPr>
                <w:b/>
                <w:color w:val="000000"/>
                <w:sz w:val="20"/>
                <w:szCs w:val="20"/>
              </w:rPr>
            </w:pPr>
            <w:r>
              <w:rPr>
                <w:b/>
                <w:color w:val="000000"/>
                <w:sz w:val="20"/>
                <w:szCs w:val="20"/>
              </w:rPr>
              <w:t>ІІІ. Загальні вимоги до складу та властивостей стічних вод, які скидаються до систем централізованого водовідведення</w:t>
            </w:r>
          </w:p>
        </w:tc>
      </w:tr>
      <w:tr w:rsidR="00F566AF">
        <w:tc>
          <w:tcPr>
            <w:tcW w:w="1175" w:type="dxa"/>
            <w:gridSpan w:val="2"/>
            <w:tcMar>
              <w:left w:w="12" w:type="dxa"/>
            </w:tcMar>
          </w:tcPr>
          <w:p w:rsidR="00F566AF" w:rsidRDefault="00F566AF">
            <w:pPr>
              <w:pStyle w:val="a9"/>
              <w:rPr>
                <w:sz w:val="20"/>
                <w:szCs w:val="20"/>
              </w:rPr>
            </w:pPr>
            <w:r>
              <w:rPr>
                <w:sz w:val="20"/>
                <w:szCs w:val="20"/>
              </w:rPr>
              <w:t>19</w:t>
            </w:r>
          </w:p>
        </w:tc>
        <w:tc>
          <w:tcPr>
            <w:tcW w:w="6525" w:type="dxa"/>
            <w:tcBorders>
              <w:left w:val="single" w:sz="2" w:space="0" w:color="000001"/>
            </w:tcBorders>
            <w:tcMar>
              <w:left w:w="12" w:type="dxa"/>
            </w:tcMar>
          </w:tcPr>
          <w:p w:rsidR="00F566AF" w:rsidRDefault="00F566AF">
            <w:pPr>
              <w:pStyle w:val="BodyText"/>
              <w:spacing w:after="0"/>
              <w:ind w:firstLine="709"/>
              <w:jc w:val="both"/>
              <w:rPr>
                <w:sz w:val="20"/>
                <w:szCs w:val="20"/>
              </w:rPr>
            </w:pPr>
            <w:r>
              <w:rPr>
                <w:color w:val="000000"/>
                <w:sz w:val="20"/>
                <w:szCs w:val="20"/>
              </w:rPr>
              <w:t>Коли споживач не може забезпечити виконання вимог цих Правил, у тому числі пункту 16 цих Правил, за деякими показниками, він звертається до виробника із заявою та обґрунтуванням приймання понаднормативно забруднених стічних вод із зазначенням їх концентрації та зобов’язується вжити заходів для доведення якості та режиму їх скиду до вимог цих Правил у строк, зазначений у договорі про приймання понаднормативно забруднених стічних вод.</w:t>
            </w:r>
          </w:p>
          <w:p w:rsidR="00F566AF" w:rsidRDefault="00F566AF">
            <w:pPr>
              <w:pStyle w:val="BodyText"/>
              <w:spacing w:after="0"/>
              <w:ind w:firstLine="709"/>
              <w:jc w:val="both"/>
              <w:rPr>
                <w:color w:val="000000"/>
                <w:sz w:val="20"/>
                <w:szCs w:val="20"/>
              </w:rPr>
            </w:pPr>
            <w:bookmarkStart w:id="0" w:name="n981"/>
            <w:bookmarkEnd w:id="0"/>
            <w:r>
              <w:rPr>
                <w:color w:val="000000"/>
                <w:sz w:val="20"/>
                <w:szCs w:val="20"/>
              </w:rPr>
              <w:t>Виробник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існуючої на каналізаційних очисних спорудах виробника технології очищення стічних вод видалити означені забруднення відповідно до вимог ГДС, встановлених для виробника.</w:t>
            </w:r>
          </w:p>
          <w:p w:rsidR="00F566AF" w:rsidRDefault="00F566AF">
            <w:pPr>
              <w:pStyle w:val="BodyText"/>
              <w:spacing w:after="0"/>
              <w:ind w:firstLine="709"/>
              <w:jc w:val="both"/>
              <w:rPr>
                <w:color w:val="000000"/>
                <w:sz w:val="20"/>
                <w:szCs w:val="20"/>
              </w:rPr>
            </w:pPr>
            <w:bookmarkStart w:id="1" w:name="n991"/>
            <w:bookmarkEnd w:id="1"/>
            <w:r>
              <w:rPr>
                <w:color w:val="000000"/>
                <w:sz w:val="20"/>
                <w:szCs w:val="20"/>
              </w:rPr>
              <w:t>У договорі про приймання понаднормативно забруднених стічних вод визначають тимчасово погоджені концентрації забруднюючих речовин, розмір додаткової оплати за приймання понаднормативно забруднених стоків, який повинен бути в межах 60-80% від оплати, що встановлюється відповідно до розділу ІІ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регіонального розвитку, будівництва та житлово-комунального господарства України від 01.12.2017 №316, перелік та строк виконання заходів для доведення якості та режиму їх скиду згідно з вимогами цих Правил, який має бути обґрунтованим та не може перевищувати трьох років.</w:t>
            </w:r>
          </w:p>
          <w:p w:rsidR="00F566AF" w:rsidRDefault="00F566AF">
            <w:pPr>
              <w:pStyle w:val="BodyText"/>
              <w:spacing w:after="0"/>
              <w:ind w:firstLine="709"/>
              <w:jc w:val="both"/>
              <w:rPr>
                <w:color w:val="000000"/>
                <w:sz w:val="20"/>
                <w:szCs w:val="20"/>
              </w:rPr>
            </w:pPr>
            <w:r>
              <w:rPr>
                <w:color w:val="000000"/>
                <w:sz w:val="20"/>
                <w:szCs w:val="20"/>
              </w:rPr>
              <w:t>Плата за приймання понаднормативно забруднених стоків визначається в розмірі:</w:t>
            </w:r>
          </w:p>
          <w:p w:rsidR="00F566AF" w:rsidRDefault="00F566AF">
            <w:pPr>
              <w:pStyle w:val="BodyText"/>
              <w:spacing w:after="0"/>
              <w:ind w:firstLine="709"/>
              <w:jc w:val="both"/>
              <w:rPr>
                <w:color w:val="000000"/>
                <w:sz w:val="20"/>
                <w:szCs w:val="20"/>
              </w:rPr>
            </w:pPr>
            <w:r>
              <w:rPr>
                <w:color w:val="000000"/>
                <w:sz w:val="20"/>
                <w:szCs w:val="20"/>
              </w:rPr>
              <w:t>- 60% - на перший рік приймання стічних вод за тимчасовим договором;</w:t>
            </w:r>
          </w:p>
          <w:p w:rsidR="00F566AF" w:rsidRDefault="00F566AF">
            <w:pPr>
              <w:pStyle w:val="BodyText"/>
              <w:spacing w:after="0"/>
              <w:ind w:firstLine="709"/>
              <w:jc w:val="both"/>
              <w:rPr>
                <w:color w:val="000000"/>
                <w:sz w:val="20"/>
                <w:szCs w:val="20"/>
              </w:rPr>
            </w:pPr>
            <w:r>
              <w:rPr>
                <w:color w:val="000000"/>
                <w:sz w:val="20"/>
                <w:szCs w:val="20"/>
              </w:rPr>
              <w:t>- 70% - на другий рік приймання стічних вод за тимчасовим договором;</w:t>
            </w:r>
          </w:p>
          <w:p w:rsidR="00F566AF" w:rsidRDefault="00F566AF">
            <w:pPr>
              <w:pStyle w:val="BodyText"/>
              <w:spacing w:after="0"/>
              <w:ind w:firstLine="709"/>
              <w:jc w:val="both"/>
              <w:rPr>
                <w:color w:val="000000"/>
                <w:sz w:val="20"/>
                <w:szCs w:val="20"/>
              </w:rPr>
            </w:pPr>
            <w:r>
              <w:rPr>
                <w:color w:val="000000"/>
                <w:sz w:val="20"/>
                <w:szCs w:val="20"/>
              </w:rPr>
              <w:t>- 80% - на третій рік приймання стічних вод за тимчасовим договором.</w:t>
            </w:r>
          </w:p>
          <w:p w:rsidR="00F566AF" w:rsidRDefault="00F566AF">
            <w:pPr>
              <w:pStyle w:val="BodyText"/>
              <w:spacing w:after="0"/>
              <w:ind w:firstLine="709"/>
              <w:jc w:val="both"/>
              <w:rPr>
                <w:color w:val="000000"/>
                <w:sz w:val="20"/>
                <w:szCs w:val="20"/>
              </w:rPr>
            </w:pPr>
            <w:bookmarkStart w:id="2" w:name="n1001"/>
            <w:bookmarkEnd w:id="2"/>
            <w:r>
              <w:rPr>
                <w:color w:val="000000"/>
                <w:sz w:val="20"/>
                <w:szCs w:val="20"/>
              </w:rPr>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водовідведення здійснюється споживачем з коефіцієнтом кратності, який визначається відповідно до Порядку, але замість встановлених ДК для розрахунку застосовуються тимчасово погоджені концентрації, зазначені в договорі про приймання понаднормативно забруднених стічних вод.</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color w:val="000000"/>
                <w:sz w:val="20"/>
                <w:szCs w:val="20"/>
              </w:rPr>
              <w:t>Коли споживач не може забезпечити виконання вимог цих Правил, у тому числі пункту 16 цих Правил, за деякими показниками, він звертається до виробника із заявою та обґрунтуванням приймання понаднормативно забруднених стічних вод із зазначенням їх концентрації та зобов’язується вжити заходів для доведення якості та режиму їх скиду до вимог цих Правил у строк, зазначений у договорі про приймання понаднормативно забруднених стічних вод.</w:t>
            </w:r>
          </w:p>
          <w:p w:rsidR="00F566AF" w:rsidRDefault="00F566AF">
            <w:pPr>
              <w:pStyle w:val="BodyText"/>
              <w:spacing w:after="0"/>
              <w:ind w:firstLine="709"/>
              <w:jc w:val="both"/>
            </w:pPr>
            <w:bookmarkStart w:id="3" w:name="n9811"/>
            <w:bookmarkEnd w:id="3"/>
            <w:r>
              <w:rPr>
                <w:color w:val="000000"/>
                <w:sz w:val="20"/>
                <w:szCs w:val="20"/>
              </w:rPr>
              <w:t>Виробник розглядає подану заяву у п’ятнадцятиденний строк і укладає зі споживачем окремий договір про приймання понаднормативно забруднених стічних вод у разі здатності існуючої на каналізаційних очисних спорудах виробника технології очищення стічних вод видалити означені забруднення відповідно до вимог ГДС, встановлених для виробника.</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pPr>
            <w:bookmarkStart w:id="4" w:name="n9911"/>
            <w:bookmarkEnd w:id="4"/>
            <w:r>
              <w:rPr>
                <w:color w:val="000000"/>
                <w:sz w:val="20"/>
                <w:szCs w:val="20"/>
              </w:rPr>
              <w:t>У договорі про приймання понаднормативно забруднених стічних вод визначають тимчасово погоджені концентрації забруднюючих речовин, розмір додаткової оплати за приймання понаднормативно забруднених стоків, який повинен бути в межах 60-80% від оплати, що встановлюється відповідно до розділу ІІ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регіонального розвитку, будівництва та житлово-комунального господарства України від 01.12.2017 №316, перелік та строк виконання заходів для доведення якості та режиму їх скиду згідно з вимогами цих Правил, який має бути обґрунтованим та не може перевищувати трьох років.</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pPr>
            <w:r>
              <w:rPr>
                <w:color w:val="000000"/>
                <w:sz w:val="20"/>
                <w:szCs w:val="20"/>
              </w:rPr>
              <w:t>Плата за приймання понаднормативно забруднених стоків визначається в розмірі:</w:t>
            </w:r>
          </w:p>
          <w:p w:rsidR="00F566AF" w:rsidRDefault="00F566AF">
            <w:pPr>
              <w:pStyle w:val="BodyText"/>
              <w:spacing w:after="0"/>
              <w:ind w:firstLine="709"/>
              <w:jc w:val="both"/>
            </w:pPr>
            <w:r>
              <w:rPr>
                <w:color w:val="000000"/>
                <w:sz w:val="20"/>
                <w:szCs w:val="20"/>
              </w:rPr>
              <w:t>- 60% - на перший рік приймання стічних вод за тимчасовим договором;</w:t>
            </w:r>
          </w:p>
          <w:p w:rsidR="00F566AF" w:rsidRDefault="00F566AF">
            <w:pPr>
              <w:pStyle w:val="BodyText"/>
              <w:spacing w:after="0"/>
              <w:ind w:firstLine="709"/>
              <w:jc w:val="both"/>
            </w:pPr>
            <w:r>
              <w:rPr>
                <w:color w:val="000000"/>
                <w:sz w:val="20"/>
                <w:szCs w:val="20"/>
              </w:rPr>
              <w:t>- 70% - на другий рік приймання стічних вод за тимчасовим договором;</w:t>
            </w:r>
          </w:p>
          <w:p w:rsidR="00F566AF" w:rsidRDefault="00F566AF">
            <w:pPr>
              <w:pStyle w:val="BodyText"/>
              <w:spacing w:after="0"/>
              <w:ind w:firstLine="709"/>
              <w:jc w:val="both"/>
            </w:pPr>
            <w:r>
              <w:rPr>
                <w:color w:val="000000"/>
                <w:sz w:val="20"/>
                <w:szCs w:val="20"/>
              </w:rPr>
              <w:t>- 80% - на третій рік приймання стічних вод за тимчасовим договором.</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rPr>
                <w:sz w:val="20"/>
                <w:szCs w:val="20"/>
              </w:rPr>
            </w:pPr>
            <w:bookmarkStart w:id="5" w:name="n10011"/>
            <w:bookmarkEnd w:id="5"/>
            <w:r>
              <w:rPr>
                <w:color w:val="000000"/>
                <w:sz w:val="20"/>
                <w:szCs w:val="20"/>
              </w:rPr>
              <w:t>У разі виявлення перевищення фактичної концентрації будь-якого показника над зазначеною в договорі про приймання понаднормативно забруднених стічних вод додаткова оплата послуг водовідведення здійснюється споживачем з коефіцієнтом кратності, який визначається відповідно до Порядку, але замість встановлених ДК для розрахунку застосовуються тимчасово погоджені концентрації, зазначені в договорі про приймання понаднормативно забруднених стічних вод.</w:t>
            </w:r>
          </w:p>
          <w:p w:rsidR="00F566AF" w:rsidRDefault="00F566AF">
            <w:pPr>
              <w:pStyle w:val="BodyText"/>
              <w:spacing w:after="0"/>
              <w:ind w:firstLine="709"/>
              <w:jc w:val="both"/>
              <w:rPr>
                <w:b/>
                <w:bCs/>
                <w:sz w:val="20"/>
                <w:szCs w:val="20"/>
              </w:rPr>
            </w:pPr>
            <w:r>
              <w:rPr>
                <w:b/>
                <w:bCs/>
                <w:color w:val="000000"/>
                <w:sz w:val="20"/>
                <w:szCs w:val="20"/>
              </w:rPr>
              <w:t>Плата за приймання понаднормативно забруднених стічних вод визначається за формулою, вказаною у пункті 47 цих Правил.</w:t>
            </w:r>
          </w:p>
        </w:tc>
      </w:tr>
      <w:tr w:rsidR="00F566AF">
        <w:tc>
          <w:tcPr>
            <w:tcW w:w="14788" w:type="dxa"/>
            <w:gridSpan w:val="4"/>
            <w:tcBorders>
              <w:right w:val="single" w:sz="2" w:space="0" w:color="000001"/>
            </w:tcBorders>
            <w:tcMar>
              <w:left w:w="12" w:type="dxa"/>
            </w:tcMar>
          </w:tcPr>
          <w:p w:rsidR="00F566AF" w:rsidRDefault="00F566AF">
            <w:pPr>
              <w:pStyle w:val="BodyText"/>
              <w:spacing w:after="0"/>
              <w:ind w:firstLine="709"/>
              <w:jc w:val="center"/>
              <w:rPr>
                <w:b/>
                <w:color w:val="000000"/>
                <w:sz w:val="20"/>
                <w:szCs w:val="20"/>
              </w:rPr>
            </w:pPr>
            <w:r>
              <w:rPr>
                <w:b/>
                <w:color w:val="000000"/>
                <w:sz w:val="20"/>
                <w:szCs w:val="20"/>
              </w:rPr>
              <w:t>ІV. Визначення ДК забруднюючих речовин у стічних водах споживачів</w:t>
            </w:r>
          </w:p>
        </w:tc>
      </w:tr>
      <w:tr w:rsidR="00F566AF">
        <w:tc>
          <w:tcPr>
            <w:tcW w:w="1175" w:type="dxa"/>
            <w:gridSpan w:val="2"/>
            <w:tcMar>
              <w:left w:w="12" w:type="dxa"/>
            </w:tcMar>
          </w:tcPr>
          <w:p w:rsidR="00F566AF" w:rsidRDefault="00F566AF">
            <w:pPr>
              <w:pStyle w:val="a9"/>
              <w:rPr>
                <w:sz w:val="20"/>
                <w:szCs w:val="20"/>
              </w:rPr>
            </w:pPr>
            <w:r>
              <w:rPr>
                <w:sz w:val="20"/>
                <w:szCs w:val="20"/>
              </w:rPr>
              <w:t>22</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 xml:space="preserve">У разі визначення ДК забруднюючої речовини в стічних водах за ДК у каналізаційній мережі приймають ДК, визначені місцевими правилами приймання, </w:t>
            </w:r>
            <w:r>
              <w:rPr>
                <w:b/>
                <w:bCs/>
                <w:color w:val="000000"/>
                <w:sz w:val="20"/>
                <w:szCs w:val="20"/>
              </w:rPr>
              <w:t>а за їх відсутності — відповідно до вимог до складу та властивостей стічних вод, що скидаються до системи централізованого водовідведення,</w:t>
            </w:r>
            <w:r>
              <w:rPr>
                <w:color w:val="000000"/>
                <w:sz w:val="20"/>
                <w:szCs w:val="20"/>
              </w:rPr>
              <w:t xml:space="preserve"> для безпечного їх відведення та очищення на каналізаційних очисних спорудах згідно з додатком 4 до цих Правил.</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color w:val="000000"/>
                <w:sz w:val="20"/>
                <w:szCs w:val="20"/>
              </w:rPr>
              <w:t>У разі визначення ДК забруднюючої речовини в стічних водах за ДК у каналізаційній мережі приймають ДК, визначені місцевими правилами приймання, для безпечного їх відведення та очищення на каналізаційних очисних спорудах згідно з додатком 4 до цих Правил.</w:t>
            </w:r>
          </w:p>
        </w:tc>
      </w:tr>
      <w:tr w:rsidR="00F566AF">
        <w:tc>
          <w:tcPr>
            <w:tcW w:w="14788" w:type="dxa"/>
            <w:gridSpan w:val="4"/>
            <w:tcBorders>
              <w:right w:val="single" w:sz="2" w:space="0" w:color="000001"/>
            </w:tcBorders>
            <w:tcMar>
              <w:left w:w="12" w:type="dxa"/>
            </w:tcMar>
          </w:tcPr>
          <w:p w:rsidR="00F566AF" w:rsidRDefault="00F566AF">
            <w:pPr>
              <w:pStyle w:val="BodyText"/>
              <w:spacing w:after="0"/>
              <w:ind w:firstLine="709"/>
              <w:jc w:val="center"/>
              <w:rPr>
                <w:b/>
                <w:color w:val="000000"/>
                <w:sz w:val="20"/>
                <w:szCs w:val="20"/>
              </w:rPr>
            </w:pPr>
            <w:r>
              <w:rPr>
                <w:b/>
                <w:color w:val="000000"/>
                <w:sz w:val="20"/>
                <w:szCs w:val="20"/>
              </w:rPr>
              <w:t>VІ. Порядок контролю за скидом стічних вод до систем централізованого водовідведення</w:t>
            </w:r>
          </w:p>
        </w:tc>
      </w:tr>
      <w:tr w:rsidR="00F566AF">
        <w:tc>
          <w:tcPr>
            <w:tcW w:w="1175" w:type="dxa"/>
            <w:gridSpan w:val="2"/>
            <w:tcMar>
              <w:left w:w="12" w:type="dxa"/>
            </w:tcMar>
          </w:tcPr>
          <w:p w:rsidR="00F566AF" w:rsidRDefault="00F566AF">
            <w:pPr>
              <w:pStyle w:val="a9"/>
              <w:rPr>
                <w:sz w:val="20"/>
                <w:szCs w:val="20"/>
              </w:rPr>
            </w:pPr>
            <w:r>
              <w:rPr>
                <w:sz w:val="20"/>
                <w:szCs w:val="20"/>
              </w:rPr>
              <w:t>33</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 xml:space="preserve">Споживачі здійснюють контроль за кількістю та якістю стічних вод, які вони скидають до системи централізованого водовідведення або безпосередньо на каналізаційні очисні споруди виробників. Споживачі контроль за якістю стічних вод за наступними показниками: азот амонійний, фосфати, ХСК, </w:t>
            </w:r>
            <w:r>
              <w:rPr>
                <w:b/>
                <w:bCs/>
                <w:color w:val="000000"/>
                <w:sz w:val="20"/>
                <w:szCs w:val="20"/>
              </w:rPr>
              <w:t>БСК</w:t>
            </w:r>
            <w:r>
              <w:rPr>
                <w:color w:val="000000"/>
                <w:sz w:val="20"/>
                <w:szCs w:val="20"/>
              </w:rPr>
              <w:t>, завислі речовини та інші, зазначені в договорі.</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rPr>
                <w:color w:val="000000"/>
                <w:sz w:val="20"/>
                <w:szCs w:val="20"/>
              </w:rPr>
            </w:pPr>
            <w:r>
              <w:rPr>
                <w:color w:val="000000"/>
                <w:sz w:val="20"/>
                <w:szCs w:val="20"/>
              </w:rPr>
              <w:t>Контроль споживачами за якістю та кількістю стічних вод здійснюється не рідше одного разу на квартал. Споживачі зобов’язані надавати виробнику інформацію про результати самостійного контролю за кількістю та якістю стічних вод щоквартально, не пізніше 15 числа місяця, наступного за звітним кварталом.</w:t>
            </w:r>
          </w:p>
          <w:p w:rsidR="00F566AF" w:rsidRDefault="00F566AF">
            <w:pPr>
              <w:pStyle w:val="BodyText"/>
              <w:spacing w:after="0"/>
              <w:ind w:firstLine="709"/>
              <w:jc w:val="both"/>
              <w:rPr>
                <w:sz w:val="20"/>
                <w:szCs w:val="20"/>
              </w:rPr>
            </w:pPr>
            <w:bookmarkStart w:id="6" w:name="n1411"/>
            <w:bookmarkEnd w:id="6"/>
            <w:r>
              <w:rPr>
                <w:color w:val="000000"/>
                <w:sz w:val="20"/>
                <w:szCs w:val="20"/>
              </w:rPr>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rsidR="00F566AF" w:rsidRDefault="00F566AF">
            <w:pPr>
              <w:pStyle w:val="BodyText"/>
              <w:spacing w:after="0"/>
              <w:ind w:firstLine="709"/>
              <w:jc w:val="both"/>
              <w:rPr>
                <w:color w:val="000000"/>
                <w:sz w:val="20"/>
                <w:szCs w:val="20"/>
              </w:rPr>
            </w:pPr>
            <w:bookmarkStart w:id="7" w:name="n1421"/>
            <w:bookmarkEnd w:id="7"/>
            <w:r>
              <w:rPr>
                <w:color w:val="000000"/>
                <w:sz w:val="20"/>
                <w:szCs w:val="20"/>
              </w:rPr>
              <w:t>Місця та періодичність відбору проб споживачами мають бути погоджені з виробником.</w:t>
            </w:r>
          </w:p>
          <w:p w:rsidR="00F566AF" w:rsidRDefault="00F566AF">
            <w:pPr>
              <w:pStyle w:val="BodyText"/>
              <w:spacing w:after="0"/>
              <w:ind w:firstLine="709"/>
              <w:jc w:val="both"/>
              <w:rPr>
                <w:color w:val="000000"/>
                <w:sz w:val="20"/>
                <w:szCs w:val="20"/>
              </w:rPr>
            </w:pPr>
            <w:bookmarkStart w:id="8" w:name="n1431"/>
            <w:bookmarkEnd w:id="8"/>
            <w:r>
              <w:rPr>
                <w:color w:val="000000"/>
                <w:sz w:val="20"/>
                <w:szCs w:val="20"/>
              </w:rPr>
              <w:t>Результати аналізів стічних вод і замірів їх витрат фіксують у робочих журналах, які зберігаються у споживачів безстроково.</w:t>
            </w:r>
          </w:p>
          <w:p w:rsidR="00F566AF" w:rsidRDefault="00F566AF">
            <w:pPr>
              <w:pStyle w:val="BodyText"/>
              <w:spacing w:after="0"/>
              <w:ind w:firstLine="709"/>
              <w:jc w:val="both"/>
              <w:rPr>
                <w:color w:val="000000"/>
                <w:sz w:val="20"/>
                <w:szCs w:val="20"/>
              </w:rPr>
            </w:pPr>
            <w:bookmarkStart w:id="9" w:name="n1451"/>
            <w:bookmarkEnd w:id="9"/>
            <w:r>
              <w:rPr>
                <w:color w:val="000000"/>
                <w:sz w:val="20"/>
                <w:szCs w:val="20"/>
              </w:rPr>
              <w:t>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color w:val="000000"/>
                <w:sz w:val="20"/>
                <w:szCs w:val="20"/>
              </w:rPr>
              <w:t xml:space="preserve">Споживачі здійснюють контроль за кількістю та якістю стічних вод, які вони скидають до системи централізованого водовідведення або безпосередньо на каналізаційні очисні споруди виробників. Споживачі </w:t>
            </w:r>
            <w:r>
              <w:rPr>
                <w:b/>
                <w:bCs/>
                <w:color w:val="000000"/>
                <w:sz w:val="20"/>
                <w:szCs w:val="20"/>
              </w:rPr>
              <w:t>здійснюють</w:t>
            </w:r>
            <w:r>
              <w:rPr>
                <w:color w:val="000000"/>
                <w:sz w:val="20"/>
                <w:szCs w:val="20"/>
              </w:rPr>
              <w:t xml:space="preserve"> контроль за якістю стічних вод за наступними показниками: азот амонійний, фосфати, ХСК, </w:t>
            </w:r>
            <w:r>
              <w:rPr>
                <w:b/>
                <w:bCs/>
                <w:color w:val="000000"/>
                <w:sz w:val="20"/>
                <w:szCs w:val="20"/>
              </w:rPr>
              <w:t>БСК</w:t>
            </w:r>
            <w:r>
              <w:rPr>
                <w:b/>
                <w:bCs/>
                <w:color w:val="000000"/>
                <w:sz w:val="20"/>
                <w:szCs w:val="20"/>
                <w:vertAlign w:val="subscript"/>
              </w:rPr>
              <w:t>5</w:t>
            </w:r>
            <w:r>
              <w:rPr>
                <w:color w:val="000000"/>
                <w:sz w:val="20"/>
                <w:szCs w:val="20"/>
              </w:rPr>
              <w:t>, завислі речовини та інші, зазначені в договорі.</w:t>
            </w:r>
          </w:p>
          <w:p w:rsidR="00F566AF" w:rsidRDefault="00F566AF">
            <w:pPr>
              <w:pStyle w:val="BodyText"/>
              <w:spacing w:after="0"/>
              <w:ind w:firstLine="709"/>
              <w:jc w:val="both"/>
            </w:pPr>
            <w:r>
              <w:rPr>
                <w:color w:val="000000"/>
                <w:sz w:val="20"/>
                <w:szCs w:val="20"/>
              </w:rPr>
              <w:t>Контроль споживачами за якістю та кількістю стічних вод здійснюється не рідше одного разу на квартал. Споживачі зобов’язані надавати виробнику інформацію про результати самостійного контролю за кількістю та якістю стічних вод щоквартально, не пізніше 15 числа місяця, наступного за звітним кварталом.</w:t>
            </w:r>
          </w:p>
          <w:p w:rsidR="00F566AF" w:rsidRDefault="00F566AF">
            <w:pPr>
              <w:pStyle w:val="BodyText"/>
              <w:spacing w:after="0"/>
              <w:ind w:firstLine="709"/>
              <w:jc w:val="both"/>
            </w:pPr>
            <w:bookmarkStart w:id="10" w:name="n14112"/>
            <w:bookmarkEnd w:id="10"/>
            <w:r>
              <w:rPr>
                <w:color w:val="000000"/>
                <w:sz w:val="20"/>
                <w:szCs w:val="20"/>
              </w:rPr>
              <w:t>За наявності локальних очисних споруд споживачі здійснюють кількісний та якісний контроль стічних вод, що надходять на них, очищених стічних вод та враховують об’єми видалених із стічних вод осадів. На вивіз та утилізацію осадів повинні бути оформлені відповідні документи (акти, накладні, рахунки), які зберігаються у споживачів не менше трьох років.</w:t>
            </w:r>
          </w:p>
          <w:p w:rsidR="00F566AF" w:rsidRDefault="00F566AF">
            <w:pPr>
              <w:pStyle w:val="BodyText"/>
              <w:spacing w:after="0"/>
              <w:ind w:firstLine="709"/>
              <w:jc w:val="both"/>
            </w:pPr>
            <w:bookmarkStart w:id="11" w:name="n14212"/>
            <w:bookmarkEnd w:id="11"/>
            <w:r>
              <w:rPr>
                <w:color w:val="000000"/>
                <w:sz w:val="20"/>
                <w:szCs w:val="20"/>
              </w:rPr>
              <w:t>Місця та періодичність відбору проб споживачами мають бути погоджені з виробником.</w:t>
            </w:r>
          </w:p>
          <w:p w:rsidR="00F566AF" w:rsidRDefault="00F566AF">
            <w:pPr>
              <w:pStyle w:val="BodyText"/>
              <w:spacing w:after="0"/>
              <w:ind w:firstLine="709"/>
              <w:jc w:val="both"/>
            </w:pPr>
            <w:bookmarkStart w:id="12" w:name="n14312"/>
            <w:bookmarkEnd w:id="12"/>
            <w:r>
              <w:rPr>
                <w:color w:val="000000"/>
                <w:sz w:val="20"/>
                <w:szCs w:val="20"/>
              </w:rPr>
              <w:t>Результати аналізів стічних вод і замірів їх витрат фіксують у робочих журналах, які зберігаються у споживачів безстроково.</w:t>
            </w:r>
          </w:p>
          <w:p w:rsidR="00F566AF" w:rsidRDefault="00F566AF">
            <w:pPr>
              <w:pStyle w:val="BodyText"/>
              <w:spacing w:after="0"/>
              <w:ind w:firstLine="709"/>
              <w:jc w:val="both"/>
            </w:pPr>
            <w:bookmarkStart w:id="13" w:name="n14512"/>
            <w:bookmarkEnd w:id="13"/>
            <w:r>
              <w:rPr>
                <w:color w:val="000000"/>
                <w:sz w:val="20"/>
                <w:szCs w:val="20"/>
              </w:rPr>
              <w:t>Споживачі зобов’язані мати та своєчасно оновлювати технічну документацію, яка характеризує стан систем водопостачання та водовідведення споживача, а саме відомості про системи водопостачання та водовідведення споживача, характеристику їх технічних параметрів і фактичного стану, графічний матеріал (генеральний план (топографічний план)) з нанесеними мережами водопостачання і водовідведення та місцем розташування контрольного колодязя, нормативний розрахунок водоспоживання та водовідведення споживача, технологічні креслення насосних станцій, план та схему локальних очисних споруд і наявність приладів обліку, відомості про категорії стічних вод споживача (промислові, господарсько-побутові, поверхневі тощо), характеристику якості стічних вод, що скидаються до системи централізованого водовідведення.</w:t>
            </w:r>
          </w:p>
        </w:tc>
      </w:tr>
      <w:tr w:rsidR="00F566AF">
        <w:tc>
          <w:tcPr>
            <w:tcW w:w="1175" w:type="dxa"/>
            <w:gridSpan w:val="2"/>
            <w:tcMar>
              <w:left w:w="12" w:type="dxa"/>
            </w:tcMar>
          </w:tcPr>
          <w:p w:rsidR="00F566AF" w:rsidRDefault="00F566AF">
            <w:pPr>
              <w:pStyle w:val="a9"/>
              <w:rPr>
                <w:sz w:val="20"/>
                <w:szCs w:val="20"/>
              </w:rPr>
            </w:pPr>
            <w:r>
              <w:rPr>
                <w:sz w:val="20"/>
                <w:szCs w:val="20"/>
              </w:rPr>
              <w:t>41</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В момент явки уповноваженого представника виробника до об'єкту споживача для відбору контрольної проби він невідкладно повідомляє про відбір проб представників споживача телефоном, зазначеним в договорі. Уповноважений представник виробника може додатково інформувати про відбір проб у інший спосіб на власний розсуд.</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rPr>
                <w:color w:val="000000"/>
                <w:sz w:val="20"/>
                <w:szCs w:val="20"/>
              </w:rPr>
            </w:pPr>
            <w:bookmarkStart w:id="14" w:name="n1511"/>
            <w:bookmarkEnd w:id="14"/>
            <w:r>
              <w:rPr>
                <w:color w:val="000000"/>
                <w:sz w:val="20"/>
                <w:szCs w:val="20"/>
              </w:rPr>
              <w:t>Відбір контрольних проб стічних вод споживачів виконує уповноважений представник виробника, що фіксується у акті, який підписують як представник виробника, так і представник споживача (додається).</w:t>
            </w:r>
          </w:p>
          <w:p w:rsidR="00F566AF" w:rsidRDefault="00F566AF">
            <w:pPr>
              <w:pStyle w:val="BodyText"/>
              <w:spacing w:after="0"/>
              <w:ind w:firstLine="709"/>
              <w:jc w:val="both"/>
              <w:rPr>
                <w:color w:val="000000"/>
                <w:sz w:val="20"/>
                <w:szCs w:val="20"/>
              </w:rPr>
            </w:pPr>
            <w:bookmarkStart w:id="15" w:name="n1521"/>
            <w:bookmarkEnd w:id="15"/>
            <w:r>
              <w:rPr>
                <w:color w:val="000000"/>
                <w:sz w:val="20"/>
                <w:szCs w:val="20"/>
              </w:rPr>
              <w:t>У разі відмови представника споживача поставити свій підпис у журналі або в акті представник виробника зазначає про це в журналі або в акті.</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color w:val="000000"/>
                <w:sz w:val="20"/>
                <w:szCs w:val="20"/>
              </w:rPr>
              <w:t xml:space="preserve">В момент явки уповноваженого представника виробника до об'єкту споживача для відбору контрольної проби він невідкладно повідомляє про відбір проб представників споживача телефоном </w:t>
            </w:r>
            <w:r>
              <w:rPr>
                <w:b/>
                <w:bCs/>
                <w:color w:val="000000"/>
                <w:sz w:val="20"/>
                <w:szCs w:val="20"/>
              </w:rPr>
              <w:t>або</w:t>
            </w:r>
            <w:r>
              <w:rPr>
                <w:b/>
                <w:bCs/>
                <w:color w:val="000000"/>
                <w:sz w:val="20"/>
                <w:szCs w:val="20"/>
                <w:highlight w:val="white"/>
              </w:rPr>
              <w:t xml:space="preserve"> СМС-повідомленням (за вибором представника виробника)</w:t>
            </w:r>
            <w:r>
              <w:rPr>
                <w:color w:val="000000"/>
                <w:sz w:val="20"/>
                <w:szCs w:val="20"/>
                <w:highlight w:val="white"/>
              </w:rPr>
              <w:t xml:space="preserve">, </w:t>
            </w:r>
            <w:r>
              <w:rPr>
                <w:color w:val="000000"/>
                <w:sz w:val="20"/>
                <w:szCs w:val="20"/>
              </w:rPr>
              <w:t>зазначеним в договорі. Уповноважений представник виробника може додатково інформувати про відбір проб у інший спосіб на власний розсуд.</w:t>
            </w:r>
          </w:p>
          <w:p w:rsidR="00F566AF" w:rsidRDefault="00F566AF">
            <w:pPr>
              <w:pStyle w:val="BodyText"/>
              <w:spacing w:after="0"/>
              <w:ind w:firstLine="709"/>
              <w:jc w:val="both"/>
            </w:pPr>
            <w:bookmarkStart w:id="16" w:name="n15111"/>
            <w:bookmarkEnd w:id="16"/>
            <w:r>
              <w:rPr>
                <w:color w:val="000000"/>
                <w:sz w:val="20"/>
                <w:szCs w:val="20"/>
              </w:rPr>
              <w:t xml:space="preserve">Відбір контрольних проб стічних вод споживачів виконує уповноважений представник виробника, що фіксується у акті, який підписують як представник виробника, так і представник споживача (додається). </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pPr>
            <w:bookmarkStart w:id="17" w:name="n15211"/>
            <w:bookmarkEnd w:id="17"/>
            <w:r>
              <w:rPr>
                <w:color w:val="000000"/>
                <w:sz w:val="20"/>
                <w:szCs w:val="20"/>
              </w:rPr>
              <w:t>У разі відмови представника споживача поставити свій підпис у журналі або в акті представник виробника зазначає про це в журналі або в акті.</w:t>
            </w:r>
          </w:p>
        </w:tc>
      </w:tr>
      <w:tr w:rsidR="00F566AF">
        <w:tc>
          <w:tcPr>
            <w:tcW w:w="1175" w:type="dxa"/>
            <w:gridSpan w:val="2"/>
            <w:tcMar>
              <w:left w:w="12" w:type="dxa"/>
            </w:tcMar>
          </w:tcPr>
          <w:p w:rsidR="00F566AF" w:rsidRDefault="00F566AF">
            <w:pPr>
              <w:pStyle w:val="a9"/>
              <w:rPr>
                <w:sz w:val="20"/>
                <w:szCs w:val="20"/>
              </w:rPr>
            </w:pPr>
            <w:r>
              <w:rPr>
                <w:sz w:val="20"/>
                <w:szCs w:val="20"/>
              </w:rPr>
              <w:t>42</w:t>
            </w:r>
          </w:p>
        </w:tc>
        <w:tc>
          <w:tcPr>
            <w:tcW w:w="6525" w:type="dxa"/>
            <w:tcBorders>
              <w:lef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Відмова споживача виділити уповноваженого представника для відбору проб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Pr>
                <w:rStyle w:val="a"/>
                <w:color w:val="000000"/>
                <w:sz w:val="20"/>
                <w:szCs w:val="20"/>
                <w:vertAlign w:val="subscript"/>
              </w:rPr>
              <w:t>k</w:t>
            </w:r>
            <w:r>
              <w:rPr>
                <w:rStyle w:val="a"/>
                <w:b/>
                <w:color w:val="000000"/>
                <w:sz w:val="20"/>
                <w:szCs w:val="20"/>
              </w:rPr>
              <w:t xml:space="preserve"> </w:t>
            </w:r>
            <w:r>
              <w:rPr>
                <w:rStyle w:val="a"/>
                <w:color w:val="000000"/>
                <w:sz w:val="20"/>
                <w:szCs w:val="20"/>
              </w:rPr>
              <w:t>= 2 за розрахунковий місяць, у якому було вчинено це порушення.</w:t>
            </w:r>
          </w:p>
          <w:p w:rsidR="00F566AF" w:rsidRDefault="00F566AF">
            <w:pPr>
              <w:pStyle w:val="BodyText"/>
              <w:spacing w:after="0"/>
              <w:ind w:firstLine="709"/>
              <w:jc w:val="both"/>
              <w:rPr>
                <w:rStyle w:val="a"/>
                <w:color w:val="000000"/>
                <w:sz w:val="20"/>
                <w:szCs w:val="20"/>
              </w:rPr>
            </w:pPr>
          </w:p>
          <w:p w:rsidR="00F566AF" w:rsidRDefault="00F566AF">
            <w:pPr>
              <w:pStyle w:val="BodyText"/>
              <w:spacing w:after="0"/>
              <w:ind w:firstLine="709"/>
              <w:jc w:val="both"/>
              <w:rPr>
                <w:rStyle w:val="a"/>
                <w:color w:val="000000"/>
                <w:sz w:val="20"/>
                <w:szCs w:val="20"/>
              </w:rPr>
            </w:pPr>
          </w:p>
          <w:p w:rsidR="00F566AF" w:rsidRDefault="00F566AF">
            <w:pPr>
              <w:pStyle w:val="BodyText"/>
              <w:spacing w:after="0"/>
              <w:ind w:firstLine="709"/>
              <w:jc w:val="both"/>
            </w:pPr>
            <w:bookmarkStart w:id="18" w:name="n1541"/>
            <w:bookmarkEnd w:id="18"/>
            <w:r>
              <w:rPr>
                <w:rStyle w:val="a"/>
                <w:color w:val="000000"/>
                <w:sz w:val="20"/>
                <w:szCs w:val="20"/>
              </w:rPr>
              <w:t>Зволікання з допуском уповноваженого представника виробника до місця відбору проб (більше ніж 30 хвилин після його прибуття) або створення перешкод у відборі проб з боку представників споживача фіксується в акті за підписом представника виробника. Виробник виставляє споживачу рахунок за понаднормативний скид забруднень з коефіцієнтом кратності K</w:t>
            </w:r>
            <w:r>
              <w:rPr>
                <w:rStyle w:val="a"/>
                <w:color w:val="000000"/>
                <w:sz w:val="20"/>
                <w:szCs w:val="20"/>
                <w:vertAlign w:val="subscript"/>
              </w:rPr>
              <w:t>k</w:t>
            </w:r>
            <w:r>
              <w:rPr>
                <w:rStyle w:val="a"/>
                <w:color w:val="000000"/>
                <w:sz w:val="20"/>
                <w:szCs w:val="20"/>
              </w:rPr>
              <w:t>= 5 за розрахунковий місяць, у якому було вчинено це порушення.</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Відмова споживача виділити уповноваженого представника для відбору проб фіксується в</w:t>
            </w:r>
            <w:r>
              <w:rPr>
                <w:rStyle w:val="a"/>
                <w:b/>
                <w:bCs/>
                <w:color w:val="000000"/>
                <w:sz w:val="20"/>
                <w:szCs w:val="20"/>
              </w:rPr>
              <w:t xml:space="preserve"> акті про недопущення до відбору проб стічних вод </w:t>
            </w:r>
            <w:bookmarkStart w:id="19" w:name="__DdeLink__8614_3638948274"/>
            <w:r>
              <w:rPr>
                <w:rStyle w:val="a"/>
                <w:b/>
                <w:bCs/>
                <w:color w:val="000000"/>
                <w:sz w:val="20"/>
                <w:szCs w:val="20"/>
              </w:rPr>
              <w:t>(Додаток 7)</w:t>
            </w:r>
            <w:bookmarkEnd w:id="19"/>
            <w:r>
              <w:rPr>
                <w:rStyle w:val="a"/>
                <w:color w:val="000000"/>
                <w:sz w:val="20"/>
                <w:szCs w:val="20"/>
              </w:rPr>
              <w:t xml:space="preserve"> за підписом представника виробника у </w:t>
            </w:r>
            <w:r>
              <w:rPr>
                <w:rStyle w:val="a"/>
                <w:b/>
                <w:bCs/>
                <w:color w:val="000000"/>
                <w:sz w:val="20"/>
                <w:szCs w:val="20"/>
              </w:rPr>
              <w:t>випадку відмови підписати акт він відсилається споживачу рекомендованим листом</w:t>
            </w:r>
            <w:r>
              <w:rPr>
                <w:rStyle w:val="a"/>
                <w:color w:val="000000"/>
                <w:sz w:val="20"/>
                <w:szCs w:val="20"/>
              </w:rPr>
              <w:t>, виробник виставляє споживачу рахунок за понаднормативний скид забруднень з коефіцієнтом кратності K</w:t>
            </w:r>
            <w:r>
              <w:rPr>
                <w:rStyle w:val="a"/>
                <w:color w:val="000000"/>
                <w:sz w:val="20"/>
                <w:szCs w:val="20"/>
                <w:vertAlign w:val="subscript"/>
              </w:rPr>
              <w:t>k</w:t>
            </w:r>
            <w:r>
              <w:rPr>
                <w:rStyle w:val="a"/>
                <w:b/>
                <w:color w:val="000000"/>
                <w:sz w:val="20"/>
                <w:szCs w:val="20"/>
              </w:rPr>
              <w:t xml:space="preserve"> </w:t>
            </w:r>
            <w:r>
              <w:rPr>
                <w:rStyle w:val="a"/>
                <w:color w:val="000000"/>
                <w:sz w:val="20"/>
                <w:szCs w:val="20"/>
              </w:rPr>
              <w:t>= 2 за розрахунковий місяць, у якому було вчинено це порушення.</w:t>
            </w:r>
          </w:p>
          <w:p w:rsidR="00F566AF" w:rsidRDefault="00F566AF">
            <w:pPr>
              <w:pStyle w:val="BodyText"/>
              <w:spacing w:after="0"/>
              <w:ind w:firstLine="709"/>
              <w:jc w:val="both"/>
              <w:rPr>
                <w:rStyle w:val="a"/>
                <w:color w:val="000000"/>
                <w:sz w:val="20"/>
                <w:szCs w:val="20"/>
              </w:rPr>
            </w:pPr>
          </w:p>
          <w:p w:rsidR="00F566AF" w:rsidRDefault="00F566AF">
            <w:pPr>
              <w:pStyle w:val="BodyText"/>
              <w:spacing w:after="0"/>
              <w:ind w:firstLine="709"/>
              <w:jc w:val="both"/>
            </w:pPr>
            <w:bookmarkStart w:id="20" w:name="n15411"/>
            <w:bookmarkEnd w:id="20"/>
            <w:r>
              <w:rPr>
                <w:rStyle w:val="a"/>
                <w:color w:val="000000"/>
                <w:sz w:val="20"/>
                <w:szCs w:val="20"/>
              </w:rPr>
              <w:t xml:space="preserve">Зволікання з допуском уповноваженого представника виробника до місця відбору проб (більше ніж 30 хвилин після його прибуття) або створення перешкод у відборі проб з боку представників споживача фіксується в </w:t>
            </w:r>
            <w:r>
              <w:rPr>
                <w:rStyle w:val="a"/>
                <w:b/>
                <w:bCs/>
                <w:color w:val="000000"/>
                <w:sz w:val="20"/>
                <w:szCs w:val="20"/>
              </w:rPr>
              <w:t>акті про недопущення до відбору проб стічних вод</w:t>
            </w:r>
            <w:r>
              <w:rPr>
                <w:rStyle w:val="a"/>
                <w:color w:val="000000"/>
                <w:sz w:val="20"/>
                <w:szCs w:val="20"/>
              </w:rPr>
              <w:t xml:space="preserve"> </w:t>
            </w:r>
            <w:r>
              <w:rPr>
                <w:rStyle w:val="a"/>
                <w:b/>
                <w:bCs/>
                <w:color w:val="000000"/>
                <w:sz w:val="20"/>
                <w:szCs w:val="20"/>
              </w:rPr>
              <w:t>(Додаток 7)</w:t>
            </w:r>
            <w:r>
              <w:rPr>
                <w:rStyle w:val="a"/>
                <w:color w:val="000000"/>
                <w:sz w:val="20"/>
                <w:szCs w:val="20"/>
              </w:rPr>
              <w:t xml:space="preserve"> за підписом представника виробника у </w:t>
            </w:r>
            <w:r>
              <w:rPr>
                <w:rStyle w:val="a"/>
                <w:b/>
                <w:bCs/>
                <w:color w:val="000000"/>
                <w:sz w:val="20"/>
                <w:szCs w:val="20"/>
              </w:rPr>
              <w:t>випадку відмови підписати акт він відсилається споживачу рекомендованим листом</w:t>
            </w:r>
            <w:r>
              <w:rPr>
                <w:rStyle w:val="a"/>
                <w:color w:val="000000"/>
                <w:sz w:val="20"/>
                <w:szCs w:val="20"/>
              </w:rPr>
              <w:t>. Виробник виставляє споживачу рахунок за понаднормативний скид забруднень з коефіцієнтом кратності K</w:t>
            </w:r>
            <w:r>
              <w:rPr>
                <w:rStyle w:val="a"/>
                <w:color w:val="000000"/>
                <w:sz w:val="20"/>
                <w:szCs w:val="20"/>
                <w:vertAlign w:val="subscript"/>
              </w:rPr>
              <w:t>k</w:t>
            </w:r>
            <w:r>
              <w:rPr>
                <w:rStyle w:val="a"/>
                <w:color w:val="000000"/>
                <w:sz w:val="20"/>
                <w:szCs w:val="20"/>
              </w:rPr>
              <w:t>= 5 за розрахунковий місяць, у якому було вчинено це порушення.</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44</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За бажанням споживача він має право звернутися до незалежної лабораторії, що здійснює свою діяльність у цій галузі відповідно до вимог Закону України “Про метрологію та метрологічну діяльність”, для проведення аналізу арбітражних проб, які відбираються одночасно з контрольною пробою і зберігаються належним чином виробником та споживачем.</w:t>
            </w:r>
          </w:p>
          <w:p w:rsidR="00F566AF" w:rsidRDefault="00F566AF">
            <w:pPr>
              <w:pStyle w:val="BodyText"/>
              <w:spacing w:after="0"/>
              <w:ind w:firstLine="709"/>
              <w:jc w:val="both"/>
              <w:rPr>
                <w:color w:val="000000"/>
                <w:sz w:val="20"/>
                <w:szCs w:val="20"/>
              </w:rPr>
            </w:pPr>
            <w:r>
              <w:rPr>
                <w:color w:val="000000"/>
                <w:sz w:val="20"/>
                <w:szCs w:val="20"/>
              </w:rPr>
              <w:t xml:space="preserve">Арбітражні проби відбираються за ініціативи споживача. Безпосередній відбір арбітражної проби здійснюють представники виробника. Споживач забезпечує </w:t>
            </w:r>
            <w:r>
              <w:rPr>
                <w:b/>
                <w:bCs/>
                <w:color w:val="000000"/>
                <w:sz w:val="20"/>
                <w:szCs w:val="20"/>
              </w:rPr>
              <w:t>витрат</w:t>
            </w:r>
            <w:r>
              <w:rPr>
                <w:color w:val="000000"/>
                <w:sz w:val="20"/>
                <w:szCs w:val="20"/>
              </w:rPr>
              <w:t xml:space="preserve"> на проведення відбору арбітражних проб та їх аналізу.</w:t>
            </w:r>
          </w:p>
          <w:p w:rsidR="00F566AF" w:rsidRDefault="00F566AF">
            <w:pPr>
              <w:pStyle w:val="BodyText"/>
              <w:spacing w:after="0"/>
              <w:ind w:firstLine="709"/>
              <w:jc w:val="both"/>
              <w:rPr>
                <w:color w:val="000000"/>
                <w:sz w:val="20"/>
                <w:szCs w:val="20"/>
              </w:rPr>
            </w:pPr>
            <w:r>
              <w:rPr>
                <w:color w:val="000000"/>
                <w:sz w:val="20"/>
                <w:szCs w:val="20"/>
              </w:rPr>
              <w:t xml:space="preserve">Арбітражна проба відбирається у дві окремі посудини (для виробника та для споживача), обидві </w:t>
            </w:r>
            <w:r>
              <w:rPr>
                <w:b/>
                <w:bCs/>
                <w:color w:val="000000"/>
                <w:sz w:val="20"/>
                <w:szCs w:val="20"/>
              </w:rPr>
              <w:t>опечатуються підписами представників, що</w:t>
            </w:r>
            <w:r>
              <w:rPr>
                <w:color w:val="000000"/>
                <w:sz w:val="20"/>
                <w:szCs w:val="20"/>
              </w:rPr>
              <w:t xml:space="preserve"> фіксується в акті відбору проби. Свою арбітражну пробу споживач невідкладно після відбору направляє на лабораторне дослідження.</w:t>
            </w:r>
          </w:p>
          <w:p w:rsidR="00F566AF" w:rsidRDefault="00F566AF">
            <w:pPr>
              <w:pStyle w:val="BodyText"/>
              <w:spacing w:after="0"/>
              <w:ind w:firstLine="709"/>
              <w:jc w:val="both"/>
              <w:rPr>
                <w:color w:val="000000"/>
                <w:sz w:val="20"/>
                <w:szCs w:val="20"/>
              </w:rPr>
            </w:pPr>
            <w:r>
              <w:rPr>
                <w:color w:val="000000"/>
                <w:sz w:val="20"/>
                <w:szCs w:val="20"/>
              </w:rPr>
              <w:t>Арбітражна проба виробника консервується та за наявності подальших спорів використовується для експертного дослідження. Експертне дослідження проводиться по тих показниках, стосовно яких виникли розбіжності.</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rPr>
                <w:sz w:val="20"/>
                <w:szCs w:val="20"/>
              </w:rPr>
            </w:pPr>
            <w:r>
              <w:rPr>
                <w:color w:val="000000"/>
                <w:sz w:val="20"/>
                <w:szCs w:val="20"/>
              </w:rPr>
              <w:t>За бажанням споживача він має право звернутися до незалежної лабораторії, що здійснює свою діяльність у цій галузі відповідно до вимог Закону України “Про метрологію та метрологічну діяльність”, для проведення аналізу арбітражних проб, які відбираються одночасно з контрольною пробою і зберігаються належним чином виробником та споживачем.</w:t>
            </w:r>
          </w:p>
          <w:p w:rsidR="00F566AF" w:rsidRDefault="00F566AF">
            <w:pPr>
              <w:pStyle w:val="BodyText"/>
              <w:spacing w:after="0"/>
              <w:ind w:firstLine="709"/>
              <w:jc w:val="both"/>
            </w:pPr>
            <w:r>
              <w:rPr>
                <w:color w:val="000000"/>
                <w:sz w:val="20"/>
                <w:szCs w:val="20"/>
              </w:rPr>
              <w:t xml:space="preserve">Арбітражні проби відбираються за ініціативи споживача. Безпосередній відбір арбітражної проби здійснюють представники виробника. Споживач забезпечує </w:t>
            </w:r>
            <w:r>
              <w:rPr>
                <w:b/>
                <w:bCs/>
                <w:color w:val="000000"/>
                <w:sz w:val="20"/>
                <w:szCs w:val="20"/>
              </w:rPr>
              <w:t>витрати</w:t>
            </w:r>
            <w:r>
              <w:rPr>
                <w:color w:val="000000"/>
                <w:sz w:val="20"/>
                <w:szCs w:val="20"/>
              </w:rPr>
              <w:t xml:space="preserve"> на проведення відбору арбітражних проб та їх аналізу.</w:t>
            </w:r>
          </w:p>
          <w:p w:rsidR="00F566AF" w:rsidRDefault="00F566AF">
            <w:pPr>
              <w:pStyle w:val="BodyText"/>
              <w:spacing w:after="0"/>
              <w:ind w:firstLine="709"/>
              <w:jc w:val="both"/>
            </w:pPr>
            <w:r>
              <w:rPr>
                <w:color w:val="000000"/>
                <w:sz w:val="20"/>
                <w:szCs w:val="20"/>
              </w:rPr>
              <w:t xml:space="preserve">Арбітражна проба відбирається у дві окремі посудини (для виробника та для споживача), обидві </w:t>
            </w:r>
            <w:r>
              <w:rPr>
                <w:b/>
                <w:bCs/>
                <w:color w:val="000000"/>
                <w:sz w:val="20"/>
                <w:szCs w:val="20"/>
              </w:rPr>
              <w:t xml:space="preserve">пломбуються, номери пломб  </w:t>
            </w:r>
            <w:r>
              <w:rPr>
                <w:color w:val="000000"/>
                <w:sz w:val="20"/>
                <w:szCs w:val="20"/>
              </w:rPr>
              <w:t>фіксується</w:t>
            </w:r>
            <w:r>
              <w:rPr>
                <w:b/>
                <w:bCs/>
                <w:color w:val="000000"/>
                <w:sz w:val="20"/>
                <w:szCs w:val="20"/>
              </w:rPr>
              <w:t xml:space="preserve"> </w:t>
            </w:r>
            <w:r>
              <w:rPr>
                <w:color w:val="000000"/>
                <w:sz w:val="20"/>
                <w:szCs w:val="20"/>
              </w:rPr>
              <w:t>в акті відбору проби. Свою арбітражну пробу споживач невідкладно після відбору направляє на лабораторне дослідження.</w:t>
            </w:r>
          </w:p>
          <w:p w:rsidR="00F566AF" w:rsidRDefault="00F566AF">
            <w:pPr>
              <w:pStyle w:val="BodyText"/>
              <w:spacing w:after="0"/>
              <w:ind w:firstLine="709"/>
              <w:jc w:val="both"/>
              <w:rPr>
                <w:color w:val="000000"/>
                <w:sz w:val="20"/>
                <w:szCs w:val="20"/>
              </w:rPr>
            </w:pPr>
          </w:p>
          <w:p w:rsidR="00F566AF" w:rsidRDefault="00F566AF">
            <w:pPr>
              <w:pStyle w:val="BodyText"/>
              <w:spacing w:after="0"/>
              <w:ind w:firstLine="709"/>
              <w:jc w:val="both"/>
            </w:pPr>
            <w:r>
              <w:rPr>
                <w:color w:val="000000"/>
                <w:sz w:val="20"/>
                <w:szCs w:val="20"/>
              </w:rPr>
              <w:t>Арбітражна проба виробника консервується та за наявності подальших спорів використовується для експертного дослідження. Експертне дослідження проводиться по тих показниках, стосовно яких виникли розбіжності.</w:t>
            </w:r>
          </w:p>
        </w:tc>
      </w:tr>
      <w:tr w:rsidR="00F566AF">
        <w:trPr>
          <w:gridBefore w:val="1"/>
          <w:wBefore w:w="33" w:type="dxa"/>
        </w:trPr>
        <w:tc>
          <w:tcPr>
            <w:tcW w:w="14788" w:type="dxa"/>
            <w:gridSpan w:val="3"/>
            <w:tcBorders>
              <w:right w:val="single" w:sz="2" w:space="0" w:color="000001"/>
            </w:tcBorders>
            <w:tcMar>
              <w:left w:w="12" w:type="dxa"/>
            </w:tcMar>
          </w:tcPr>
          <w:p w:rsidR="00F566AF" w:rsidRDefault="00F566AF">
            <w:pPr>
              <w:pStyle w:val="BodyText"/>
              <w:spacing w:after="0"/>
              <w:ind w:firstLine="709"/>
              <w:jc w:val="center"/>
            </w:pPr>
            <w:bookmarkStart w:id="21" w:name="__DdeLink__36170_54278573"/>
            <w:r>
              <w:rPr>
                <w:rStyle w:val="a"/>
                <w:b/>
                <w:color w:val="000000"/>
                <w:sz w:val="20"/>
                <w:szCs w:val="20"/>
                <w:lang w:val="en-US"/>
              </w:rPr>
              <w:t>V</w:t>
            </w:r>
            <w:r>
              <w:rPr>
                <w:rStyle w:val="a"/>
                <w:b/>
                <w:color w:val="000000"/>
                <w:sz w:val="20"/>
                <w:szCs w:val="20"/>
              </w:rPr>
              <w:t>II</w:t>
            </w:r>
            <w:bookmarkEnd w:id="21"/>
            <w:r>
              <w:rPr>
                <w:rStyle w:val="a"/>
                <w:b/>
                <w:color w:val="000000"/>
                <w:sz w:val="20"/>
                <w:szCs w:val="20"/>
              </w:rPr>
              <w:t>. Визначення розміру плати за скид стічних вод до систем централізованого водовідведення при порушенні вимог щодо якості і режиму їх скидання</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45</w:t>
            </w:r>
          </w:p>
        </w:tc>
        <w:tc>
          <w:tcPr>
            <w:tcW w:w="6525" w:type="dxa"/>
            <w:tcBorders>
              <w:left w:val="single" w:sz="2" w:space="0" w:color="000001"/>
            </w:tcBorders>
            <w:tcMar>
              <w:left w:w="12" w:type="dxa"/>
            </w:tcMar>
          </w:tcPr>
          <w:p w:rsidR="00F566AF" w:rsidRDefault="00F566AF">
            <w:pPr>
              <w:pStyle w:val="BodyText"/>
              <w:spacing w:after="0"/>
              <w:ind w:firstLine="709"/>
              <w:jc w:val="both"/>
              <w:rPr>
                <w:color w:val="000000"/>
                <w:sz w:val="20"/>
                <w:szCs w:val="20"/>
              </w:rPr>
            </w:pPr>
            <w:r>
              <w:rPr>
                <w:color w:val="000000"/>
                <w:sz w:val="20"/>
                <w:szCs w:val="20"/>
              </w:rPr>
              <w:t>У разі повної відповідності якості та режиму скиду стічних вод Правилам приймання стічних вод до систем централізованого водовідведення, затвердженим наказом Міністерства регіонального розвитку, будівництва та житлово-комунального господарства України від 01 грудня 2017 року №316, цим правилам приймання та умовам укладеного договору споживачі сплачують за послуги водовідведення за тарифом, установленим згідно з чинним законодавством для відповідної категорії споживачів.</w:t>
            </w:r>
          </w:p>
          <w:p w:rsidR="00F566AF" w:rsidRDefault="00F566AF">
            <w:pPr>
              <w:pStyle w:val="BodyText"/>
              <w:spacing w:after="0"/>
              <w:ind w:firstLine="709"/>
              <w:jc w:val="both"/>
            </w:pPr>
            <w:bookmarkStart w:id="22" w:name="n2061"/>
            <w:bookmarkEnd w:id="22"/>
            <w:r>
              <w:rPr>
                <w:color w:val="000000"/>
                <w:sz w:val="20"/>
                <w:szCs w:val="20"/>
              </w:rPr>
              <w:t xml:space="preserve">Кількість стічних вод споживачів, які підлягають оплаті, визначають за фактичними обсягами відповідно до </w:t>
            </w:r>
            <w:r>
              <w:rPr>
                <w:b/>
                <w:bCs/>
                <w:color w:val="000000"/>
                <w:sz w:val="20"/>
                <w:szCs w:val="20"/>
              </w:rPr>
              <w:t>пунктів 45 56</w:t>
            </w:r>
            <w:r>
              <w:rPr>
                <w:color w:val="000000"/>
                <w:sz w:val="20"/>
                <w:szCs w:val="20"/>
              </w:rPr>
              <w:t xml:space="preserve"> цих Правил або згідно з Правилами користування.</w:t>
            </w:r>
          </w:p>
          <w:p w:rsidR="00F566AF" w:rsidRDefault="00F566AF">
            <w:pPr>
              <w:pStyle w:val="BodyText"/>
              <w:spacing w:after="0"/>
              <w:ind w:firstLine="709"/>
              <w:jc w:val="both"/>
              <w:rPr>
                <w:sz w:val="20"/>
                <w:szCs w:val="20"/>
              </w:rPr>
            </w:pPr>
            <w:bookmarkStart w:id="23" w:name="n2111"/>
            <w:bookmarkEnd w:id="23"/>
            <w:r>
              <w:rPr>
                <w:color w:val="000000"/>
                <w:sz w:val="20"/>
                <w:szCs w:val="20"/>
              </w:rPr>
              <w:t>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виробників, оплачуються споживачами у п’ятикратному розмірі встановленого тарифу на послугу з централізованого водовідведення.</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color w:val="000000"/>
                <w:sz w:val="20"/>
                <w:szCs w:val="20"/>
              </w:rPr>
              <w:t>У разі повної відповідності якості та режиму скиду стічних вод Правилам приймання стічних вод до систем централізованого водовідведення, затвердженим наказом Міністерства регіонального розвитку, будівництва та житлово-комунального господарства України від 01 грудня 2017 року №316, цим правилам приймання та умовам укладеного договору споживачі сплачують за послуги водовідведення за тарифом, установленим згідно з чинним законодавством для відповідної категорії споживачів.</w:t>
            </w:r>
          </w:p>
          <w:p w:rsidR="00F566AF" w:rsidRDefault="00F566AF">
            <w:pPr>
              <w:pStyle w:val="BodyText"/>
              <w:spacing w:after="0"/>
              <w:ind w:firstLine="709"/>
              <w:jc w:val="both"/>
            </w:pPr>
            <w:bookmarkStart w:id="24" w:name="n20611"/>
            <w:bookmarkEnd w:id="24"/>
            <w:r>
              <w:rPr>
                <w:color w:val="000000"/>
                <w:sz w:val="20"/>
                <w:szCs w:val="20"/>
              </w:rPr>
              <w:t>Кількість стічних вод споживачів, які підлягають оплаті, визначають за фактичними обсягами відповідно до цих Правил або згідно з Правилами користування.</w:t>
            </w:r>
          </w:p>
          <w:p w:rsidR="00F566AF" w:rsidRDefault="00F566AF">
            <w:pPr>
              <w:pStyle w:val="BodyText"/>
              <w:spacing w:after="0"/>
              <w:ind w:firstLine="709"/>
              <w:jc w:val="both"/>
              <w:rPr>
                <w:sz w:val="20"/>
                <w:szCs w:val="20"/>
              </w:rPr>
            </w:pPr>
            <w:bookmarkStart w:id="25" w:name="n21111"/>
            <w:bookmarkEnd w:id="25"/>
            <w:r>
              <w:rPr>
                <w:color w:val="000000"/>
                <w:sz w:val="20"/>
                <w:szCs w:val="20"/>
              </w:rPr>
              <w:t>Додаткові обсяги стічних вод споживачів (не враховані договором), що надходять до систем централізованого водовідведення або безпосередньо на каналізаційні очисні споруди виробників, оплачуються споживачами у п’ятикратному розмірі встановленого тарифу на послугу з централізованого водовідведення.</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50</w:t>
            </w:r>
          </w:p>
        </w:tc>
        <w:tc>
          <w:tcPr>
            <w:tcW w:w="6525" w:type="dxa"/>
            <w:tcBorders>
              <w:lef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У разі перевищення відношення ХСК/БСК</w:t>
            </w:r>
            <w:r>
              <w:rPr>
                <w:rStyle w:val="a"/>
                <w:color w:val="000000"/>
                <w:sz w:val="20"/>
                <w:szCs w:val="20"/>
                <w:vertAlign w:val="subscript"/>
              </w:rPr>
              <w:t>5</w:t>
            </w:r>
            <w:r>
              <w:rPr>
                <w:rStyle w:val="a"/>
                <w:color w:val="000000"/>
                <w:sz w:val="20"/>
                <w:szCs w:val="20"/>
              </w:rPr>
              <w:t>≤2,5 коефіцієнт кратності визначають за формулою</w:t>
            </w:r>
          </w:p>
          <w:p w:rsidR="00F566AF" w:rsidRDefault="00F566AF">
            <w:pPr>
              <w:pStyle w:val="BodyText"/>
              <w:spacing w:after="0"/>
              <w:ind w:firstLine="709"/>
              <w:jc w:val="both"/>
            </w:pPr>
            <w:bookmarkStart w:id="26" w:name="n2911"/>
            <w:bookmarkEnd w:id="26"/>
            <w:r>
              <w:rPr>
                <w:rStyle w:val="a"/>
                <w:color w:val="000000"/>
                <w:sz w:val="20"/>
                <w:szCs w:val="20"/>
                <w:lang w:val="en-US"/>
              </w:rPr>
              <w:t>K</w:t>
            </w:r>
            <w:r>
              <w:rPr>
                <w:rStyle w:val="a"/>
                <w:color w:val="000000"/>
                <w:sz w:val="20"/>
                <w:szCs w:val="20"/>
                <w:vertAlign w:val="subscript"/>
                <w:lang w:val="en-US"/>
              </w:rPr>
              <w:t>k</w:t>
            </w:r>
            <w:r w:rsidRPr="007C4EF1">
              <w:rPr>
                <w:rStyle w:val="a"/>
                <w:color w:val="000000"/>
                <w:sz w:val="20"/>
                <w:szCs w:val="20"/>
                <w:lang w:val="ru-RU"/>
              </w:rPr>
              <w:t xml:space="preserve"> = </w:t>
            </w:r>
            <w:r>
              <w:rPr>
                <w:rStyle w:val="a"/>
                <w:color w:val="000000"/>
                <w:sz w:val="20"/>
                <w:szCs w:val="20"/>
                <w:lang w:val="en-US"/>
              </w:rPr>
              <w:t>XCK</w:t>
            </w:r>
            <w:r w:rsidRPr="007C4EF1">
              <w:rPr>
                <w:rStyle w:val="a"/>
                <w:color w:val="000000"/>
                <w:sz w:val="20"/>
                <w:szCs w:val="20"/>
                <w:lang w:val="ru-RU"/>
              </w:rPr>
              <w:t xml:space="preserve"> / 2,5 * </w:t>
            </w:r>
            <w:r>
              <w:rPr>
                <w:rStyle w:val="a"/>
                <w:b/>
                <w:bCs/>
                <w:color w:val="000000"/>
                <w:sz w:val="20"/>
                <w:szCs w:val="20"/>
              </w:rPr>
              <w:t>БСК 5 - 1</w:t>
            </w:r>
          </w:p>
          <w:p w:rsidR="00F566AF" w:rsidRDefault="00F566AF">
            <w:pPr>
              <w:pStyle w:val="a9"/>
              <w:ind w:firstLine="709"/>
              <w:jc w:val="both"/>
              <w:rPr>
                <w:color w:val="000000"/>
                <w:sz w:val="20"/>
                <w:szCs w:val="20"/>
              </w:rPr>
            </w:pPr>
            <w:r>
              <w:rPr>
                <w:color w:val="000000"/>
                <w:sz w:val="20"/>
                <w:szCs w:val="20"/>
              </w:rPr>
              <w:t>ХСК - хімічне споживання кисню;</w:t>
            </w:r>
          </w:p>
          <w:p w:rsidR="00F566AF" w:rsidRDefault="00F566AF">
            <w:pPr>
              <w:pStyle w:val="a9"/>
              <w:ind w:firstLine="709"/>
              <w:jc w:val="both"/>
            </w:pPr>
            <w:r>
              <w:rPr>
                <w:rStyle w:val="a"/>
                <w:color w:val="000000"/>
                <w:sz w:val="20"/>
                <w:szCs w:val="20"/>
              </w:rPr>
              <w:t>БСК</w:t>
            </w:r>
            <w:r>
              <w:rPr>
                <w:rStyle w:val="a"/>
                <w:color w:val="000000"/>
                <w:sz w:val="20"/>
                <w:szCs w:val="20"/>
                <w:vertAlign w:val="subscript"/>
              </w:rPr>
              <w:t>5</w:t>
            </w:r>
            <w:r>
              <w:rPr>
                <w:rStyle w:val="a"/>
                <w:color w:val="000000"/>
                <w:sz w:val="20"/>
                <w:szCs w:val="20"/>
              </w:rPr>
              <w:t xml:space="preserve"> - біохімічне споживання кисню протягом п’яти діб.</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У разі перевищення відношення ХСК/БСК</w:t>
            </w:r>
            <w:r>
              <w:rPr>
                <w:rStyle w:val="a"/>
                <w:color w:val="000000"/>
                <w:sz w:val="20"/>
                <w:szCs w:val="20"/>
                <w:vertAlign w:val="subscript"/>
              </w:rPr>
              <w:t>5</w:t>
            </w:r>
            <w:r>
              <w:rPr>
                <w:rStyle w:val="a"/>
                <w:color w:val="000000"/>
                <w:sz w:val="20"/>
                <w:szCs w:val="20"/>
              </w:rPr>
              <w:t>≤2,5 коефіцієнт кратності визначають за формулою</w:t>
            </w:r>
          </w:p>
          <w:p w:rsidR="00F566AF" w:rsidRDefault="00F566AF">
            <w:pPr>
              <w:pStyle w:val="BodyText"/>
              <w:spacing w:after="0"/>
              <w:ind w:firstLine="709"/>
              <w:jc w:val="both"/>
            </w:pPr>
            <w:bookmarkStart w:id="27" w:name="n29111"/>
            <w:bookmarkEnd w:id="27"/>
            <w:r>
              <w:rPr>
                <w:rStyle w:val="a"/>
                <w:color w:val="000000"/>
                <w:sz w:val="20"/>
                <w:szCs w:val="20"/>
                <w:lang w:val="en-US"/>
              </w:rPr>
              <w:t>K</w:t>
            </w:r>
            <w:r>
              <w:rPr>
                <w:rStyle w:val="a"/>
                <w:color w:val="000000"/>
                <w:sz w:val="20"/>
                <w:szCs w:val="20"/>
                <w:vertAlign w:val="subscript"/>
                <w:lang w:val="en-US"/>
              </w:rPr>
              <w:t>k</w:t>
            </w:r>
            <w:r w:rsidRPr="007C4EF1">
              <w:rPr>
                <w:rStyle w:val="a"/>
                <w:color w:val="000000"/>
                <w:sz w:val="20"/>
                <w:szCs w:val="20"/>
                <w:vertAlign w:val="subscript"/>
                <w:lang w:val="ru-RU"/>
              </w:rPr>
              <w:t xml:space="preserve"> </w:t>
            </w:r>
            <w:r w:rsidRPr="007C4EF1">
              <w:rPr>
                <w:rStyle w:val="a"/>
                <w:color w:val="000000"/>
                <w:sz w:val="20"/>
                <w:szCs w:val="20"/>
                <w:lang w:val="ru-RU"/>
              </w:rPr>
              <w:t xml:space="preserve">= </w:t>
            </w:r>
            <w:r>
              <w:rPr>
                <w:rStyle w:val="a"/>
                <w:color w:val="000000"/>
                <w:sz w:val="20"/>
                <w:szCs w:val="20"/>
                <w:lang w:val="en-US"/>
              </w:rPr>
              <w:t>XCK</w:t>
            </w:r>
            <w:r w:rsidRPr="007C4EF1">
              <w:rPr>
                <w:rStyle w:val="a"/>
                <w:color w:val="000000"/>
                <w:sz w:val="20"/>
                <w:szCs w:val="20"/>
                <w:lang w:val="ru-RU"/>
              </w:rPr>
              <w:t xml:space="preserve"> / 2,5 * </w:t>
            </w:r>
            <w:r>
              <w:rPr>
                <w:rStyle w:val="a"/>
                <w:b/>
                <w:bCs/>
                <w:color w:val="000000"/>
                <w:sz w:val="20"/>
                <w:szCs w:val="20"/>
              </w:rPr>
              <w:t xml:space="preserve">БСК </w:t>
            </w:r>
            <w:r>
              <w:rPr>
                <w:rStyle w:val="a"/>
                <w:b/>
                <w:bCs/>
                <w:color w:val="000000"/>
                <w:sz w:val="20"/>
                <w:szCs w:val="20"/>
                <w:vertAlign w:val="subscript"/>
              </w:rPr>
              <w:t>5</w:t>
            </w:r>
            <w:r>
              <w:rPr>
                <w:rStyle w:val="a"/>
                <w:color w:val="000000"/>
                <w:sz w:val="20"/>
                <w:szCs w:val="20"/>
              </w:rPr>
              <w:t>- 1</w:t>
            </w:r>
          </w:p>
          <w:p w:rsidR="00F566AF" w:rsidRDefault="00F566AF">
            <w:pPr>
              <w:pStyle w:val="a9"/>
              <w:ind w:firstLine="709"/>
              <w:jc w:val="both"/>
            </w:pPr>
            <w:r>
              <w:rPr>
                <w:color w:val="000000"/>
                <w:sz w:val="20"/>
                <w:szCs w:val="20"/>
              </w:rPr>
              <w:t>ХСК - хімічне споживання кисню;</w:t>
            </w:r>
          </w:p>
          <w:p w:rsidR="00F566AF" w:rsidRDefault="00F566AF">
            <w:pPr>
              <w:pStyle w:val="a9"/>
              <w:ind w:firstLine="709"/>
              <w:jc w:val="both"/>
              <w:rPr>
                <w:sz w:val="20"/>
                <w:szCs w:val="20"/>
              </w:rPr>
            </w:pPr>
            <w:r>
              <w:rPr>
                <w:rStyle w:val="a"/>
                <w:color w:val="000000"/>
                <w:sz w:val="20"/>
                <w:szCs w:val="20"/>
              </w:rPr>
              <w:t>БСК</w:t>
            </w:r>
            <w:r>
              <w:rPr>
                <w:rStyle w:val="a"/>
                <w:color w:val="000000"/>
                <w:sz w:val="20"/>
                <w:szCs w:val="20"/>
                <w:vertAlign w:val="subscript"/>
              </w:rPr>
              <w:t>5</w:t>
            </w:r>
            <w:r>
              <w:rPr>
                <w:rStyle w:val="a"/>
                <w:color w:val="000000"/>
                <w:sz w:val="20"/>
                <w:szCs w:val="20"/>
              </w:rPr>
              <w:t xml:space="preserve"> - біохімічне споживання кисню протягом п’яти діб.</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53</w:t>
            </w:r>
          </w:p>
        </w:tc>
        <w:tc>
          <w:tcPr>
            <w:tcW w:w="6525" w:type="dxa"/>
            <w:tcBorders>
              <w:lef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Pr>
                <w:rStyle w:val="a"/>
                <w:color w:val="000000"/>
                <w:sz w:val="20"/>
                <w:szCs w:val="20"/>
                <w:vertAlign w:val="subscript"/>
              </w:rPr>
              <w:t>f</w:t>
            </w:r>
            <w:r>
              <w:rPr>
                <w:rStyle w:val="a"/>
                <w:color w:val="000000"/>
                <w:sz w:val="20"/>
                <w:szCs w:val="20"/>
              </w:rPr>
              <w:t>) понад установлену допустимою концентрацією (ДК) коефіцієнт кратності (К</w:t>
            </w:r>
            <w:r>
              <w:rPr>
                <w:rStyle w:val="a"/>
                <w:color w:val="000000"/>
                <w:sz w:val="20"/>
                <w:szCs w:val="20"/>
                <w:vertAlign w:val="subscript"/>
              </w:rPr>
              <w:t>к</w:t>
            </w:r>
            <w:r>
              <w:rPr>
                <w:rStyle w:val="a"/>
                <w:color w:val="000000"/>
                <w:sz w:val="20"/>
                <w:szCs w:val="20"/>
              </w:rPr>
              <w:t>) для розрахунку плати за скид понаднормативних забруднень визначають за формулою</w:t>
            </w:r>
          </w:p>
          <w:p w:rsidR="00F566AF" w:rsidRDefault="00F566AF">
            <w:pPr>
              <w:pStyle w:val="BodyText"/>
              <w:spacing w:after="0"/>
              <w:ind w:firstLine="709"/>
              <w:jc w:val="both"/>
            </w:pPr>
            <w:r>
              <w:rPr>
                <w:rStyle w:val="a"/>
                <w:color w:val="000000"/>
                <w:sz w:val="20"/>
                <w:szCs w:val="20"/>
                <w:u w:val="single"/>
                <w:lang w:val="en-US"/>
              </w:rPr>
              <w:t>K</w:t>
            </w:r>
            <w:r>
              <w:rPr>
                <w:rStyle w:val="a"/>
                <w:color w:val="000000"/>
                <w:sz w:val="20"/>
                <w:szCs w:val="20"/>
                <w:u w:val="single"/>
                <w:vertAlign w:val="subscript"/>
                <w:lang w:val="en-US"/>
              </w:rPr>
              <w:t>k</w:t>
            </w:r>
            <w:r w:rsidRPr="007C4EF1">
              <w:rPr>
                <w:rStyle w:val="a"/>
                <w:color w:val="000000"/>
                <w:sz w:val="20"/>
                <w:szCs w:val="20"/>
                <w:u w:val="single"/>
              </w:rPr>
              <w:t xml:space="preserve"> = </w:t>
            </w:r>
            <w:r>
              <w:rPr>
                <w:rStyle w:val="a"/>
                <w:color w:val="000000"/>
                <w:sz w:val="20"/>
                <w:szCs w:val="20"/>
                <w:u w:val="single"/>
                <w:lang w:val="en-US"/>
              </w:rPr>
              <w:t>C</w:t>
            </w:r>
            <w:r>
              <w:rPr>
                <w:rStyle w:val="a"/>
                <w:color w:val="000000"/>
                <w:sz w:val="20"/>
                <w:szCs w:val="20"/>
                <w:u w:val="single"/>
                <w:vertAlign w:val="subscript"/>
                <w:lang w:val="en-US"/>
              </w:rPr>
              <w:t>f</w:t>
            </w:r>
            <w:r w:rsidRPr="007C4EF1">
              <w:rPr>
                <w:rStyle w:val="a"/>
                <w:color w:val="000000"/>
                <w:sz w:val="20"/>
                <w:szCs w:val="20"/>
                <w:u w:val="single"/>
              </w:rPr>
              <w:t xml:space="preserve"> /</w:t>
            </w:r>
            <w:r>
              <w:rPr>
                <w:rStyle w:val="a"/>
                <w:color w:val="000000"/>
                <w:sz w:val="20"/>
                <w:szCs w:val="20"/>
                <w:u w:val="single"/>
              </w:rPr>
              <w:t xml:space="preserve"> ДК - 1</w:t>
            </w:r>
          </w:p>
          <w:p w:rsidR="00F566AF" w:rsidRDefault="00F566AF">
            <w:pPr>
              <w:pStyle w:val="BodyText"/>
              <w:spacing w:after="0"/>
              <w:ind w:firstLine="709"/>
              <w:jc w:val="both"/>
              <w:rPr>
                <w:color w:val="000000"/>
                <w:sz w:val="20"/>
                <w:szCs w:val="20"/>
              </w:rPr>
            </w:pPr>
            <w:bookmarkStart w:id="28" w:name="n3511"/>
            <w:bookmarkEnd w:id="28"/>
            <w:r>
              <w:rPr>
                <w:color w:val="000000"/>
                <w:sz w:val="20"/>
                <w:szCs w:val="20"/>
              </w:rPr>
              <w:t xml:space="preserve">Коефіцієнт кратності при перевищенні ДК однієї речовини не може перевищувати 5, крім випадків, передбачених пунктами </w:t>
            </w:r>
            <w:r>
              <w:rPr>
                <w:b/>
                <w:bCs/>
                <w:color w:val="000000"/>
                <w:sz w:val="20"/>
                <w:szCs w:val="20"/>
              </w:rPr>
              <w:t>4, 5 цього розділу</w:t>
            </w:r>
            <w:r>
              <w:rPr>
                <w:color w:val="000000"/>
                <w:sz w:val="20"/>
                <w:szCs w:val="20"/>
              </w:rPr>
              <w:t>.</w:t>
            </w:r>
          </w:p>
        </w:tc>
        <w:tc>
          <w:tcPr>
            <w:tcW w:w="7088" w:type="dxa"/>
            <w:tcBorders>
              <w:left w:val="single" w:sz="2" w:space="0" w:color="000001"/>
              <w:right w:val="single" w:sz="2" w:space="0" w:color="000001"/>
            </w:tcBorders>
            <w:tcMar>
              <w:left w:w="12" w:type="dxa"/>
            </w:tcMar>
          </w:tcPr>
          <w:p w:rsidR="00F566AF" w:rsidRDefault="00F566AF">
            <w:pPr>
              <w:pStyle w:val="BodyText"/>
              <w:spacing w:after="0"/>
              <w:ind w:firstLine="709"/>
              <w:jc w:val="both"/>
            </w:pPr>
            <w:r>
              <w:rPr>
                <w:rStyle w:val="a"/>
                <w:color w:val="000000"/>
                <w:sz w:val="20"/>
                <w:szCs w:val="20"/>
              </w:rPr>
              <w:t>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Pr>
                <w:rStyle w:val="a"/>
                <w:color w:val="000000"/>
                <w:sz w:val="20"/>
                <w:szCs w:val="20"/>
                <w:vertAlign w:val="subscript"/>
              </w:rPr>
              <w:t>f</w:t>
            </w:r>
            <w:r>
              <w:rPr>
                <w:rStyle w:val="a"/>
                <w:color w:val="000000"/>
                <w:sz w:val="20"/>
                <w:szCs w:val="20"/>
              </w:rPr>
              <w:t>) понад установлену допустимою концентрацією (ДК) коефіцієнт кратності (К</w:t>
            </w:r>
            <w:r>
              <w:rPr>
                <w:rStyle w:val="a"/>
                <w:color w:val="000000"/>
                <w:sz w:val="20"/>
                <w:szCs w:val="20"/>
                <w:vertAlign w:val="subscript"/>
              </w:rPr>
              <w:t>к</w:t>
            </w:r>
            <w:r>
              <w:rPr>
                <w:rStyle w:val="a"/>
                <w:color w:val="000000"/>
                <w:sz w:val="20"/>
                <w:szCs w:val="20"/>
              </w:rPr>
              <w:t>) для розрахунку плати за скид понаднормативних забруднень визначають за формулою</w:t>
            </w:r>
          </w:p>
          <w:p w:rsidR="00F566AF" w:rsidRDefault="00F566AF">
            <w:pPr>
              <w:pStyle w:val="BodyText"/>
              <w:spacing w:after="0"/>
              <w:ind w:firstLine="709"/>
              <w:jc w:val="both"/>
            </w:pPr>
            <w:r>
              <w:rPr>
                <w:rStyle w:val="a"/>
                <w:color w:val="000000"/>
                <w:sz w:val="20"/>
                <w:szCs w:val="20"/>
                <w:u w:val="single"/>
                <w:lang w:val="en-US"/>
              </w:rPr>
              <w:t>K</w:t>
            </w:r>
            <w:r>
              <w:rPr>
                <w:rStyle w:val="a"/>
                <w:color w:val="000000"/>
                <w:sz w:val="20"/>
                <w:szCs w:val="20"/>
                <w:u w:val="single"/>
                <w:vertAlign w:val="subscript"/>
                <w:lang w:val="en-US"/>
              </w:rPr>
              <w:t>k</w:t>
            </w:r>
            <w:r w:rsidRPr="007C4EF1">
              <w:rPr>
                <w:rStyle w:val="a"/>
                <w:color w:val="000000"/>
                <w:sz w:val="20"/>
                <w:szCs w:val="20"/>
                <w:u w:val="single"/>
                <w:lang w:val="ru-RU"/>
              </w:rPr>
              <w:t xml:space="preserve"> = </w:t>
            </w:r>
            <w:r>
              <w:rPr>
                <w:rStyle w:val="a"/>
                <w:color w:val="000000"/>
                <w:sz w:val="20"/>
                <w:szCs w:val="20"/>
                <w:u w:val="single"/>
                <w:lang w:val="en-US"/>
              </w:rPr>
              <w:t>C</w:t>
            </w:r>
            <w:r>
              <w:rPr>
                <w:rStyle w:val="a"/>
                <w:color w:val="000000"/>
                <w:sz w:val="20"/>
                <w:szCs w:val="20"/>
                <w:u w:val="single"/>
                <w:vertAlign w:val="subscript"/>
                <w:lang w:val="en-US"/>
              </w:rPr>
              <w:t>f</w:t>
            </w:r>
            <w:r w:rsidRPr="007C4EF1">
              <w:rPr>
                <w:rStyle w:val="a"/>
                <w:color w:val="000000"/>
                <w:sz w:val="20"/>
                <w:szCs w:val="20"/>
                <w:u w:val="single"/>
                <w:lang w:val="ru-RU"/>
              </w:rPr>
              <w:t xml:space="preserve"> /</w:t>
            </w:r>
            <w:r>
              <w:rPr>
                <w:rStyle w:val="a"/>
                <w:color w:val="000000"/>
                <w:sz w:val="20"/>
                <w:szCs w:val="20"/>
                <w:u w:val="single"/>
              </w:rPr>
              <w:t xml:space="preserve"> ДК - 1</w:t>
            </w:r>
          </w:p>
          <w:p w:rsidR="00F566AF" w:rsidRDefault="00F566AF">
            <w:pPr>
              <w:pStyle w:val="BodyText"/>
              <w:spacing w:after="0"/>
              <w:ind w:firstLine="709"/>
              <w:jc w:val="both"/>
            </w:pPr>
            <w:r>
              <w:rPr>
                <w:rStyle w:val="a"/>
                <w:b/>
                <w:bCs/>
                <w:color w:val="000000"/>
                <w:sz w:val="20"/>
                <w:szCs w:val="20"/>
              </w:rPr>
              <w:t>У разі укладення договору про приймання понаднормативно забруднених стічних вод розрахунок плати визначається з врахуванням  встановленого відсотку нарахування (В) за формулою</w:t>
            </w:r>
          </w:p>
          <w:p w:rsidR="00F566AF" w:rsidRDefault="00F566AF">
            <w:pPr>
              <w:pStyle w:val="BodyText"/>
              <w:spacing w:after="0"/>
              <w:ind w:firstLine="709"/>
              <w:jc w:val="both"/>
              <w:rPr>
                <w:sz w:val="20"/>
                <w:szCs w:val="20"/>
              </w:rPr>
            </w:pPr>
            <w:r>
              <w:rPr>
                <w:rStyle w:val="a"/>
                <w:b/>
                <w:bCs/>
                <w:color w:val="000000"/>
                <w:sz w:val="20"/>
                <w:szCs w:val="20"/>
                <w:u w:val="single"/>
                <w:lang w:val="en-US"/>
              </w:rPr>
              <w:t>K</w:t>
            </w:r>
            <w:r>
              <w:rPr>
                <w:rStyle w:val="a"/>
                <w:b/>
                <w:bCs/>
                <w:color w:val="000000"/>
                <w:sz w:val="20"/>
                <w:szCs w:val="20"/>
                <w:u w:val="single"/>
                <w:vertAlign w:val="subscript"/>
                <w:lang w:val="en-US"/>
              </w:rPr>
              <w:t>k</w:t>
            </w:r>
            <w:r w:rsidRPr="007C4EF1">
              <w:rPr>
                <w:rStyle w:val="a"/>
                <w:b/>
                <w:bCs/>
                <w:color w:val="000000"/>
                <w:sz w:val="20"/>
                <w:szCs w:val="20"/>
                <w:u w:val="single"/>
              </w:rPr>
              <w:t xml:space="preserve"> = </w:t>
            </w:r>
            <w:r>
              <w:rPr>
                <w:rStyle w:val="a"/>
                <w:b/>
                <w:bCs/>
                <w:color w:val="000000"/>
                <w:sz w:val="20"/>
                <w:szCs w:val="20"/>
                <w:u w:val="single"/>
              </w:rPr>
              <w:t>(</w:t>
            </w:r>
            <w:r>
              <w:rPr>
                <w:rStyle w:val="a"/>
                <w:b/>
                <w:bCs/>
                <w:color w:val="000000"/>
                <w:sz w:val="20"/>
                <w:szCs w:val="20"/>
                <w:u w:val="single"/>
                <w:lang w:val="en-US"/>
              </w:rPr>
              <w:t>C</w:t>
            </w:r>
            <w:r>
              <w:rPr>
                <w:rStyle w:val="a"/>
                <w:b/>
                <w:bCs/>
                <w:color w:val="000000"/>
                <w:sz w:val="20"/>
                <w:szCs w:val="20"/>
                <w:u w:val="single"/>
                <w:vertAlign w:val="subscript"/>
                <w:lang w:val="en-US"/>
              </w:rPr>
              <w:t>f</w:t>
            </w:r>
            <w:r w:rsidRPr="007C4EF1">
              <w:rPr>
                <w:rStyle w:val="a"/>
                <w:b/>
                <w:bCs/>
                <w:color w:val="000000"/>
                <w:position w:val="-1"/>
                <w:sz w:val="20"/>
                <w:szCs w:val="20"/>
                <w:u w:val="single"/>
              </w:rPr>
              <w:t xml:space="preserve"> </w:t>
            </w:r>
            <w:r w:rsidRPr="007C4EF1">
              <w:rPr>
                <w:rStyle w:val="a"/>
                <w:b/>
                <w:bCs/>
                <w:color w:val="000000"/>
                <w:sz w:val="20"/>
                <w:szCs w:val="20"/>
                <w:u w:val="single"/>
              </w:rPr>
              <w:t xml:space="preserve"> /</w:t>
            </w:r>
            <w:r>
              <w:rPr>
                <w:rStyle w:val="a"/>
                <w:b/>
                <w:bCs/>
                <w:color w:val="000000"/>
                <w:sz w:val="20"/>
                <w:szCs w:val="20"/>
                <w:u w:val="single"/>
              </w:rPr>
              <w:t xml:space="preserve"> ДК - 1) * В</w:t>
            </w:r>
          </w:p>
          <w:p w:rsidR="00F566AF" w:rsidRDefault="00F566AF">
            <w:pPr>
              <w:pStyle w:val="BodyText"/>
              <w:spacing w:after="0"/>
              <w:ind w:firstLine="709"/>
              <w:jc w:val="both"/>
            </w:pPr>
            <w:r>
              <w:rPr>
                <w:rStyle w:val="a"/>
                <w:b/>
                <w:bCs/>
                <w:color w:val="000000"/>
                <w:sz w:val="20"/>
                <w:szCs w:val="20"/>
              </w:rPr>
              <w:t>У разі виявлення виробником під час контролю якості стічних вод, що скидають споживачі, перевищення фактичної концентрації одного виду забруднення (C</w:t>
            </w:r>
            <w:r>
              <w:rPr>
                <w:rStyle w:val="a"/>
                <w:b/>
                <w:bCs/>
                <w:color w:val="000000"/>
                <w:sz w:val="20"/>
                <w:szCs w:val="20"/>
                <w:vertAlign w:val="subscript"/>
              </w:rPr>
              <w:t>f</w:t>
            </w:r>
            <w:r>
              <w:rPr>
                <w:rStyle w:val="a"/>
                <w:b/>
                <w:bCs/>
                <w:color w:val="000000"/>
                <w:sz w:val="20"/>
                <w:szCs w:val="20"/>
              </w:rPr>
              <w:t>) понад тимчасово погоджені концентрації забруднюючих речовин (ТДК) коефіцієнт кратності (К</w:t>
            </w:r>
            <w:r>
              <w:rPr>
                <w:rStyle w:val="a"/>
                <w:b/>
                <w:bCs/>
                <w:color w:val="000000"/>
                <w:sz w:val="20"/>
                <w:szCs w:val="20"/>
                <w:vertAlign w:val="subscript"/>
              </w:rPr>
              <w:t>к</w:t>
            </w:r>
            <w:r>
              <w:rPr>
                <w:rStyle w:val="a"/>
                <w:b/>
                <w:bCs/>
                <w:color w:val="000000"/>
                <w:sz w:val="20"/>
                <w:szCs w:val="20"/>
              </w:rPr>
              <w:t>) для розрахунку плати за скид понаднормативних забруднень визначають за формулою</w:t>
            </w:r>
          </w:p>
          <w:p w:rsidR="00F566AF" w:rsidRDefault="00F566AF">
            <w:pPr>
              <w:pStyle w:val="BodyText"/>
              <w:spacing w:after="0"/>
              <w:ind w:firstLine="709"/>
              <w:jc w:val="both"/>
              <w:rPr>
                <w:sz w:val="20"/>
                <w:szCs w:val="20"/>
              </w:rPr>
            </w:pPr>
            <w:r>
              <w:rPr>
                <w:rStyle w:val="a"/>
                <w:b/>
                <w:bCs/>
                <w:color w:val="000000"/>
                <w:sz w:val="20"/>
                <w:szCs w:val="20"/>
                <w:u w:val="single"/>
                <w:lang w:val="en-US"/>
              </w:rPr>
              <w:t>K</w:t>
            </w:r>
            <w:r>
              <w:rPr>
                <w:rStyle w:val="a"/>
                <w:b/>
                <w:bCs/>
                <w:color w:val="000000"/>
                <w:sz w:val="20"/>
                <w:szCs w:val="20"/>
                <w:u w:val="single"/>
                <w:vertAlign w:val="subscript"/>
                <w:lang w:val="en-US"/>
              </w:rPr>
              <w:t>k</w:t>
            </w:r>
            <w:r w:rsidRPr="007C4EF1">
              <w:rPr>
                <w:rStyle w:val="a"/>
                <w:b/>
                <w:bCs/>
                <w:color w:val="000000"/>
                <w:sz w:val="20"/>
                <w:szCs w:val="20"/>
                <w:u w:val="single"/>
                <w:vertAlign w:val="subscript"/>
                <w:lang w:val="ru-RU"/>
              </w:rPr>
              <w:t xml:space="preserve"> </w:t>
            </w:r>
            <w:r w:rsidRPr="007C4EF1">
              <w:rPr>
                <w:rStyle w:val="a"/>
                <w:b/>
                <w:bCs/>
                <w:color w:val="000000"/>
                <w:sz w:val="20"/>
                <w:szCs w:val="20"/>
                <w:u w:val="single"/>
                <w:lang w:val="ru-RU"/>
              </w:rPr>
              <w:t xml:space="preserve">= </w:t>
            </w:r>
            <w:r>
              <w:rPr>
                <w:rStyle w:val="a"/>
                <w:b/>
                <w:bCs/>
                <w:color w:val="000000"/>
                <w:sz w:val="20"/>
                <w:szCs w:val="20"/>
                <w:u w:val="single"/>
              </w:rPr>
              <w:t>((ТДК</w:t>
            </w:r>
            <w:r w:rsidRPr="007C4EF1">
              <w:rPr>
                <w:rStyle w:val="a"/>
                <w:b/>
                <w:bCs/>
                <w:color w:val="000000"/>
                <w:sz w:val="20"/>
                <w:szCs w:val="20"/>
                <w:u w:val="single"/>
                <w:lang w:val="ru-RU"/>
              </w:rPr>
              <w:t xml:space="preserve"> / ДК - 1) * В</w:t>
            </w:r>
            <w:r>
              <w:rPr>
                <w:rStyle w:val="a"/>
                <w:b/>
                <w:bCs/>
                <w:color w:val="000000"/>
                <w:sz w:val="20"/>
                <w:szCs w:val="20"/>
                <w:u w:val="single"/>
              </w:rPr>
              <w:t>) + (</w:t>
            </w:r>
            <w:r>
              <w:rPr>
                <w:rStyle w:val="a"/>
                <w:b/>
                <w:bCs/>
                <w:color w:val="000000"/>
                <w:sz w:val="20"/>
                <w:szCs w:val="20"/>
                <w:u w:val="single"/>
                <w:lang w:val="en-US"/>
              </w:rPr>
              <w:t>C</w:t>
            </w:r>
            <w:r>
              <w:rPr>
                <w:rStyle w:val="a"/>
                <w:b/>
                <w:bCs/>
                <w:color w:val="000000"/>
                <w:sz w:val="20"/>
                <w:szCs w:val="20"/>
                <w:u w:val="single"/>
                <w:vertAlign w:val="subscript"/>
                <w:lang w:val="en-US"/>
              </w:rPr>
              <w:t>f</w:t>
            </w:r>
            <w:r w:rsidRPr="007C4EF1">
              <w:rPr>
                <w:rStyle w:val="a"/>
                <w:b/>
                <w:bCs/>
                <w:color w:val="000000"/>
                <w:sz w:val="20"/>
                <w:szCs w:val="20"/>
                <w:u w:val="single"/>
                <w:lang w:val="ru-RU"/>
              </w:rPr>
              <w:t xml:space="preserve"> /</w:t>
            </w:r>
            <w:r>
              <w:rPr>
                <w:rStyle w:val="a"/>
                <w:b/>
                <w:bCs/>
                <w:color w:val="000000"/>
                <w:sz w:val="20"/>
                <w:szCs w:val="20"/>
                <w:u w:val="single"/>
              </w:rPr>
              <w:t xml:space="preserve"> ТДК - 1)</w:t>
            </w:r>
          </w:p>
          <w:p w:rsidR="00F566AF" w:rsidRDefault="00F566AF">
            <w:pPr>
              <w:pStyle w:val="BodyText"/>
              <w:spacing w:after="0"/>
              <w:ind w:firstLine="709"/>
              <w:jc w:val="both"/>
              <w:rPr>
                <w:sz w:val="20"/>
                <w:szCs w:val="20"/>
              </w:rPr>
            </w:pPr>
            <w:bookmarkStart w:id="29" w:name="n35111"/>
            <w:bookmarkEnd w:id="29"/>
            <w:r>
              <w:rPr>
                <w:color w:val="000000"/>
                <w:sz w:val="20"/>
                <w:szCs w:val="20"/>
              </w:rPr>
              <w:t xml:space="preserve">Коефіцієнт кратності при перевищенні ДК однієї речовини не може перевищувати 5, крім випадків, передбачених пунктами </w:t>
            </w:r>
            <w:r>
              <w:rPr>
                <w:b/>
                <w:bCs/>
                <w:color w:val="000000"/>
                <w:sz w:val="20"/>
                <w:szCs w:val="20"/>
              </w:rPr>
              <w:t>4</w:t>
            </w:r>
            <w:r w:rsidRPr="007C4EF1">
              <w:rPr>
                <w:b/>
                <w:bCs/>
                <w:color w:val="000000"/>
                <w:sz w:val="20"/>
                <w:szCs w:val="20"/>
                <w:lang w:val="ru-RU"/>
              </w:rPr>
              <w:t>8</w:t>
            </w:r>
            <w:r>
              <w:rPr>
                <w:b/>
                <w:bCs/>
                <w:color w:val="000000"/>
                <w:sz w:val="20"/>
                <w:szCs w:val="20"/>
              </w:rPr>
              <w:t xml:space="preserve">, </w:t>
            </w:r>
            <w:r w:rsidRPr="007C4EF1">
              <w:rPr>
                <w:b/>
                <w:bCs/>
                <w:color w:val="000000"/>
                <w:sz w:val="20"/>
                <w:szCs w:val="20"/>
                <w:lang w:val="ru-RU"/>
              </w:rPr>
              <w:t>49</w:t>
            </w:r>
            <w:r>
              <w:rPr>
                <w:b/>
                <w:bCs/>
                <w:color w:val="000000"/>
                <w:sz w:val="20"/>
                <w:szCs w:val="20"/>
              </w:rPr>
              <w:t xml:space="preserve"> цих Правил.</w:t>
            </w:r>
          </w:p>
        </w:tc>
      </w:tr>
      <w:tr w:rsidR="00F566AF">
        <w:trPr>
          <w:gridBefore w:val="1"/>
          <w:wBefore w:w="33" w:type="dxa"/>
        </w:trPr>
        <w:tc>
          <w:tcPr>
            <w:tcW w:w="14788" w:type="dxa"/>
            <w:gridSpan w:val="3"/>
            <w:tcBorders>
              <w:right w:val="single" w:sz="2" w:space="0" w:color="000001"/>
            </w:tcBorders>
            <w:tcMar>
              <w:left w:w="12" w:type="dxa"/>
            </w:tcMar>
          </w:tcPr>
          <w:p w:rsidR="00F566AF" w:rsidRDefault="00F566AF">
            <w:pPr>
              <w:ind w:firstLine="709"/>
              <w:jc w:val="center"/>
            </w:pPr>
            <w:r>
              <w:rPr>
                <w:rStyle w:val="a"/>
                <w:b/>
                <w:bCs/>
                <w:color w:val="000000"/>
                <w:sz w:val="20"/>
                <w:szCs w:val="20"/>
                <w:lang w:val="en-US"/>
              </w:rPr>
              <w:t>VIII</w:t>
            </w:r>
            <w:r>
              <w:rPr>
                <w:rStyle w:val="a"/>
                <w:b/>
                <w:bCs/>
                <w:color w:val="000000"/>
                <w:sz w:val="20"/>
                <w:szCs w:val="20"/>
              </w:rPr>
              <w:t>. Порядок приймання стічних вод асенізаційним транспортом.</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70</w:t>
            </w:r>
          </w:p>
        </w:tc>
        <w:tc>
          <w:tcPr>
            <w:tcW w:w="6525" w:type="dxa"/>
            <w:tcBorders>
              <w:left w:val="single" w:sz="2" w:space="0" w:color="000001"/>
            </w:tcBorders>
            <w:tcMar>
              <w:left w:w="12" w:type="dxa"/>
            </w:tcMar>
          </w:tcPr>
          <w:p w:rsidR="00F566AF" w:rsidRDefault="00F566AF">
            <w:pPr>
              <w:ind w:firstLine="709"/>
              <w:jc w:val="both"/>
            </w:pPr>
            <w:r>
              <w:rPr>
                <w:color w:val="000000"/>
                <w:sz w:val="20"/>
                <w:szCs w:val="20"/>
              </w:rPr>
              <w:t xml:space="preserve">Перевезення рідких відходів до місця їхнього скидання здійснюється </w:t>
            </w:r>
            <w:r>
              <w:rPr>
                <w:b/>
                <w:bCs/>
                <w:color w:val="000000"/>
                <w:sz w:val="20"/>
                <w:szCs w:val="20"/>
              </w:rPr>
              <w:t>Комунальним підприємством “Тернопільводоканал” або іншою</w:t>
            </w:r>
            <w:r>
              <w:rPr>
                <w:color w:val="000000"/>
                <w:sz w:val="20"/>
                <w:szCs w:val="20"/>
              </w:rPr>
              <w:t xml:space="preserve"> спеціалізованою організацією, яка має право на здійснення такого виду діяльності та має необхідні технічні можливості (далі — Перевізник).</w:t>
            </w:r>
          </w:p>
        </w:tc>
        <w:tc>
          <w:tcPr>
            <w:tcW w:w="7088" w:type="dxa"/>
            <w:tcBorders>
              <w:left w:val="single" w:sz="2" w:space="0" w:color="000001"/>
              <w:right w:val="single" w:sz="2" w:space="0" w:color="000001"/>
            </w:tcBorders>
            <w:tcMar>
              <w:left w:w="12" w:type="dxa"/>
            </w:tcMar>
          </w:tcPr>
          <w:p w:rsidR="00F566AF" w:rsidRDefault="00F566AF">
            <w:pPr>
              <w:ind w:firstLine="709"/>
              <w:jc w:val="both"/>
              <w:rPr>
                <w:color w:val="000000"/>
              </w:rPr>
            </w:pPr>
            <w:r>
              <w:rPr>
                <w:color w:val="000000"/>
                <w:sz w:val="20"/>
                <w:szCs w:val="20"/>
              </w:rPr>
              <w:t>Перевезення рідких відходів до місця їхнього скидання здійснюється спеціалізованими організаціями, які мають право на здійснення такого виду діяльності та мають необхідні технічні можливості (далі — Перевізник).</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71</w:t>
            </w:r>
          </w:p>
        </w:tc>
        <w:tc>
          <w:tcPr>
            <w:tcW w:w="6525" w:type="dxa"/>
            <w:tcBorders>
              <w:left w:val="single" w:sz="2" w:space="0" w:color="000001"/>
            </w:tcBorders>
            <w:tcMar>
              <w:left w:w="12" w:type="dxa"/>
            </w:tcMar>
          </w:tcPr>
          <w:p w:rsidR="00F566AF" w:rsidRDefault="00F566AF">
            <w:pPr>
              <w:ind w:firstLine="709"/>
              <w:jc w:val="both"/>
            </w:pPr>
            <w:r>
              <w:rPr>
                <w:rStyle w:val="a"/>
                <w:color w:val="000000"/>
                <w:sz w:val="20"/>
                <w:szCs w:val="20"/>
              </w:rPr>
              <w:t xml:space="preserve">Перевезення рідких відходів здійснюється спеціалізованими машинами, обладнаними терміналами автомобільної навігації із виведенням даних на центральний пункт диспетчеризації через </w:t>
            </w:r>
            <w:r>
              <w:rPr>
                <w:rStyle w:val="a"/>
                <w:color w:val="000000"/>
                <w:sz w:val="20"/>
                <w:szCs w:val="20"/>
                <w:lang w:val="en-US"/>
              </w:rPr>
              <w:t>GPS</w:t>
            </w:r>
            <w:r>
              <w:rPr>
                <w:rStyle w:val="a"/>
                <w:color w:val="000000"/>
                <w:sz w:val="20"/>
                <w:szCs w:val="20"/>
              </w:rPr>
              <w:t xml:space="preserve">-пристрої. Тернопільська міська рада </w:t>
            </w:r>
            <w:r>
              <w:rPr>
                <w:rStyle w:val="a"/>
                <w:b/>
                <w:bCs/>
                <w:color w:val="000000"/>
                <w:sz w:val="20"/>
                <w:szCs w:val="20"/>
              </w:rPr>
              <w:t xml:space="preserve">забезпечує </w:t>
            </w:r>
            <w:r>
              <w:rPr>
                <w:rStyle w:val="a"/>
                <w:color w:val="000000"/>
                <w:sz w:val="20"/>
                <w:szCs w:val="20"/>
              </w:rPr>
              <w:t xml:space="preserve">висвітлення роботи спеціалізованих машин за даними </w:t>
            </w:r>
            <w:r>
              <w:rPr>
                <w:rStyle w:val="a"/>
                <w:color w:val="000000"/>
                <w:sz w:val="20"/>
                <w:szCs w:val="20"/>
                <w:lang w:val="en-US"/>
              </w:rPr>
              <w:t>GPS</w:t>
            </w:r>
            <w:r w:rsidRPr="007C4EF1">
              <w:rPr>
                <w:rStyle w:val="a"/>
                <w:color w:val="000000"/>
                <w:sz w:val="20"/>
                <w:szCs w:val="20"/>
                <w:lang w:val="ru-RU"/>
              </w:rPr>
              <w:t>-</w:t>
            </w:r>
            <w:r>
              <w:rPr>
                <w:rStyle w:val="a"/>
                <w:color w:val="000000"/>
                <w:sz w:val="20"/>
                <w:szCs w:val="20"/>
              </w:rPr>
              <w:t xml:space="preserve">пристроїв у мережі інтернет. Перевізники зобов'язані забезпечувати постійну цілодобову роботу </w:t>
            </w:r>
            <w:r>
              <w:rPr>
                <w:rStyle w:val="a"/>
                <w:color w:val="000000"/>
                <w:sz w:val="20"/>
                <w:szCs w:val="20"/>
                <w:lang w:val="en-US"/>
              </w:rPr>
              <w:t>GPS</w:t>
            </w:r>
            <w:r>
              <w:rPr>
                <w:rStyle w:val="a"/>
                <w:color w:val="000000"/>
                <w:sz w:val="20"/>
                <w:szCs w:val="20"/>
              </w:rPr>
              <w:t>-пристроїв.</w:t>
            </w:r>
          </w:p>
        </w:tc>
        <w:tc>
          <w:tcPr>
            <w:tcW w:w="7088" w:type="dxa"/>
            <w:tcBorders>
              <w:left w:val="single" w:sz="2" w:space="0" w:color="000001"/>
              <w:right w:val="single" w:sz="2" w:space="0" w:color="000001"/>
            </w:tcBorders>
            <w:tcMar>
              <w:left w:w="12" w:type="dxa"/>
            </w:tcMar>
          </w:tcPr>
          <w:p w:rsidR="00F566AF" w:rsidRDefault="00F566AF">
            <w:pPr>
              <w:ind w:firstLine="709"/>
              <w:jc w:val="both"/>
              <w:rPr>
                <w:sz w:val="20"/>
                <w:szCs w:val="20"/>
              </w:rPr>
            </w:pPr>
            <w:r>
              <w:rPr>
                <w:rStyle w:val="a"/>
                <w:color w:val="000000"/>
                <w:sz w:val="20"/>
                <w:szCs w:val="20"/>
              </w:rPr>
              <w:t xml:space="preserve">Перевезення рідких відходів здійснюється спеціалізованими машинами, обладнаними терміналами автомобільної навігації із виведенням даних на центральний пункт диспетчеризації через </w:t>
            </w:r>
            <w:r>
              <w:rPr>
                <w:rStyle w:val="a"/>
                <w:color w:val="000000"/>
                <w:sz w:val="20"/>
                <w:szCs w:val="20"/>
                <w:lang w:val="en-US"/>
              </w:rPr>
              <w:t>GPS</w:t>
            </w:r>
            <w:r>
              <w:rPr>
                <w:rStyle w:val="a"/>
                <w:color w:val="000000"/>
                <w:sz w:val="20"/>
                <w:szCs w:val="20"/>
              </w:rPr>
              <w:t xml:space="preserve">-пристрої. Тернопільська міська рада </w:t>
            </w:r>
            <w:r>
              <w:rPr>
                <w:rStyle w:val="a"/>
                <w:b/>
                <w:bCs/>
                <w:color w:val="000000"/>
                <w:sz w:val="20"/>
                <w:szCs w:val="20"/>
              </w:rPr>
              <w:t>вживає заходів щодо забезпечення</w:t>
            </w:r>
            <w:r>
              <w:rPr>
                <w:rStyle w:val="a"/>
                <w:color w:val="000000"/>
                <w:sz w:val="20"/>
                <w:szCs w:val="20"/>
              </w:rPr>
              <w:t xml:space="preserve"> висвітлення роботи спеціалізованих машин за даними </w:t>
            </w:r>
            <w:r>
              <w:rPr>
                <w:rStyle w:val="a"/>
                <w:color w:val="000000"/>
                <w:sz w:val="20"/>
                <w:szCs w:val="20"/>
                <w:lang w:val="en-US"/>
              </w:rPr>
              <w:t>GPS</w:t>
            </w:r>
            <w:r w:rsidRPr="007C4EF1">
              <w:rPr>
                <w:rStyle w:val="a"/>
                <w:color w:val="000000"/>
                <w:sz w:val="20"/>
                <w:szCs w:val="20"/>
                <w:lang w:val="ru-RU"/>
              </w:rPr>
              <w:t>-</w:t>
            </w:r>
            <w:r>
              <w:rPr>
                <w:rStyle w:val="a"/>
                <w:color w:val="000000"/>
                <w:sz w:val="20"/>
                <w:szCs w:val="20"/>
              </w:rPr>
              <w:t xml:space="preserve">пристроїв у мережі інтернет. Перевізники зобов'язані забезпечувати постійну цілодобову роботу </w:t>
            </w:r>
            <w:r>
              <w:rPr>
                <w:rStyle w:val="a"/>
                <w:color w:val="000000"/>
                <w:sz w:val="20"/>
                <w:szCs w:val="20"/>
                <w:lang w:val="en-US"/>
              </w:rPr>
              <w:t>GPS</w:t>
            </w:r>
            <w:r>
              <w:rPr>
                <w:rStyle w:val="a"/>
                <w:color w:val="000000"/>
                <w:sz w:val="20"/>
                <w:szCs w:val="20"/>
              </w:rPr>
              <w:t>-пристроїв.</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72</w:t>
            </w:r>
          </w:p>
        </w:tc>
        <w:tc>
          <w:tcPr>
            <w:tcW w:w="6525" w:type="dxa"/>
            <w:tcBorders>
              <w:left w:val="single" w:sz="2" w:space="0" w:color="000001"/>
            </w:tcBorders>
            <w:tcMar>
              <w:left w:w="12" w:type="dxa"/>
            </w:tcMar>
          </w:tcPr>
          <w:p w:rsidR="00F566AF" w:rsidRDefault="00F566AF">
            <w:pPr>
              <w:ind w:firstLine="709"/>
              <w:jc w:val="both"/>
              <w:rPr>
                <w:color w:val="000000"/>
                <w:sz w:val="20"/>
                <w:szCs w:val="20"/>
              </w:rPr>
            </w:pPr>
            <w:r>
              <w:rPr>
                <w:color w:val="000000"/>
                <w:sz w:val="20"/>
                <w:szCs w:val="20"/>
              </w:rPr>
              <w:t xml:space="preserve">Перевізник зобов'язаний </w:t>
            </w:r>
            <w:r>
              <w:rPr>
                <w:b/>
                <w:bCs/>
                <w:color w:val="000000"/>
                <w:sz w:val="20"/>
                <w:szCs w:val="20"/>
              </w:rPr>
              <w:t xml:space="preserve">отримати в установах Держпродспоживслужби висновок відповідно до ст.33 Закону України “Про забезпечення санітарного та епідеміологічного благополуччя населення”, а також </w:t>
            </w:r>
            <w:r>
              <w:rPr>
                <w:color w:val="000000"/>
                <w:sz w:val="20"/>
                <w:szCs w:val="20"/>
              </w:rPr>
              <w:t xml:space="preserve">укласти з виробником </w:t>
            </w:r>
            <w:r>
              <w:rPr>
                <w:b/>
                <w:bCs/>
                <w:color w:val="000000"/>
                <w:sz w:val="20"/>
                <w:szCs w:val="20"/>
              </w:rPr>
              <w:t>договір на приймання та очищення рідких відходів.</w:t>
            </w:r>
          </w:p>
        </w:tc>
        <w:tc>
          <w:tcPr>
            <w:tcW w:w="7088" w:type="dxa"/>
            <w:tcBorders>
              <w:left w:val="single" w:sz="2" w:space="0" w:color="000001"/>
              <w:right w:val="single" w:sz="2" w:space="0" w:color="000001"/>
            </w:tcBorders>
            <w:tcMar>
              <w:left w:w="12" w:type="dxa"/>
            </w:tcMar>
          </w:tcPr>
          <w:p w:rsidR="00F566AF" w:rsidRDefault="00F566AF">
            <w:pPr>
              <w:ind w:firstLine="709"/>
              <w:jc w:val="both"/>
            </w:pPr>
            <w:r>
              <w:rPr>
                <w:color w:val="000000"/>
                <w:sz w:val="20"/>
                <w:szCs w:val="20"/>
              </w:rPr>
              <w:t xml:space="preserve">Перевізник зобов'язаний укласти з виробником договір </w:t>
            </w:r>
            <w:r>
              <w:rPr>
                <w:b/>
                <w:bCs/>
                <w:color w:val="000000"/>
                <w:sz w:val="20"/>
                <w:szCs w:val="20"/>
              </w:rPr>
              <w:t>про надання послуг з водовідведення.</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73</w:t>
            </w:r>
          </w:p>
        </w:tc>
        <w:tc>
          <w:tcPr>
            <w:tcW w:w="6525" w:type="dxa"/>
            <w:tcBorders>
              <w:left w:val="single" w:sz="2" w:space="0" w:color="000001"/>
            </w:tcBorders>
            <w:tcMar>
              <w:left w:w="12" w:type="dxa"/>
            </w:tcMar>
          </w:tcPr>
          <w:p w:rsidR="00F566AF" w:rsidRDefault="00F566AF">
            <w:pPr>
              <w:ind w:firstLine="709"/>
              <w:jc w:val="both"/>
            </w:pPr>
            <w:r>
              <w:rPr>
                <w:rStyle w:val="a"/>
                <w:color w:val="000000"/>
                <w:sz w:val="20"/>
                <w:szCs w:val="20"/>
              </w:rPr>
              <w:t xml:space="preserve">Перевізник зобов'язаний щомісячно до 5 числа місяця, наступного за звітним, надавати </w:t>
            </w:r>
            <w:r>
              <w:rPr>
                <w:rStyle w:val="a"/>
                <w:b/>
                <w:bCs/>
                <w:color w:val="000000"/>
                <w:sz w:val="20"/>
                <w:szCs w:val="20"/>
              </w:rPr>
              <w:t>виробнику</w:t>
            </w:r>
            <w:r>
              <w:rPr>
                <w:rStyle w:val="a"/>
                <w:color w:val="000000"/>
                <w:sz w:val="20"/>
                <w:szCs w:val="20"/>
              </w:rPr>
              <w:t xml:space="preserve"> інформацію про абонентів, що користуються його послугами, дані про якісний склад і об'єм їх стоків. </w:t>
            </w:r>
            <w:r>
              <w:rPr>
                <w:rStyle w:val="a"/>
                <w:b/>
                <w:bCs/>
                <w:color w:val="000000"/>
                <w:sz w:val="20"/>
                <w:szCs w:val="20"/>
              </w:rPr>
              <w:t>У разі ненадання перевізником інформації про якісний склад стоків, для розрахунку оплати застосовується коефіцієнт кратності К</w:t>
            </w:r>
            <w:r>
              <w:rPr>
                <w:rStyle w:val="a"/>
                <w:b/>
                <w:bCs/>
                <w:color w:val="000000"/>
                <w:position w:val="-1"/>
                <w:sz w:val="20"/>
                <w:szCs w:val="20"/>
              </w:rPr>
              <w:t>к</w:t>
            </w:r>
            <w:r>
              <w:rPr>
                <w:rStyle w:val="a"/>
                <w:b/>
                <w:bCs/>
                <w:color w:val="000000"/>
                <w:sz w:val="20"/>
                <w:szCs w:val="20"/>
              </w:rPr>
              <w:t>=5.</w:t>
            </w:r>
          </w:p>
        </w:tc>
        <w:tc>
          <w:tcPr>
            <w:tcW w:w="7088" w:type="dxa"/>
            <w:tcBorders>
              <w:left w:val="single" w:sz="2" w:space="0" w:color="000001"/>
              <w:right w:val="single" w:sz="2" w:space="0" w:color="000001"/>
            </w:tcBorders>
            <w:tcMar>
              <w:left w:w="12" w:type="dxa"/>
            </w:tcMar>
          </w:tcPr>
          <w:p w:rsidR="00F566AF" w:rsidRDefault="00F566AF">
            <w:pPr>
              <w:ind w:firstLine="709"/>
              <w:jc w:val="both"/>
            </w:pPr>
            <w:r>
              <w:rPr>
                <w:rStyle w:val="a"/>
                <w:color w:val="000000"/>
                <w:sz w:val="20"/>
                <w:szCs w:val="20"/>
              </w:rPr>
              <w:t xml:space="preserve">Перевізник зобов'язаний щомісячно до 5 числа місяця, наступного за звітним, надавати </w:t>
            </w:r>
            <w:r>
              <w:rPr>
                <w:rStyle w:val="a"/>
                <w:b/>
                <w:bCs/>
                <w:color w:val="000000"/>
                <w:sz w:val="20"/>
                <w:szCs w:val="20"/>
              </w:rPr>
              <w:t>Відділу благоустрою та екології Управління житлово-комунального господарства, благоустрою та екології Тернопільської міської ради</w:t>
            </w:r>
            <w:r>
              <w:rPr>
                <w:rStyle w:val="a"/>
                <w:color w:val="000000"/>
                <w:sz w:val="20"/>
                <w:szCs w:val="20"/>
              </w:rPr>
              <w:t xml:space="preserve"> інформацію про абонентів, що користуються його послугами, дані про якісний склад і об'єм їх стоків. </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74</w:t>
            </w:r>
          </w:p>
        </w:tc>
        <w:tc>
          <w:tcPr>
            <w:tcW w:w="6525" w:type="dxa"/>
            <w:tcBorders>
              <w:left w:val="single" w:sz="2" w:space="0" w:color="000001"/>
            </w:tcBorders>
            <w:tcMar>
              <w:left w:w="12" w:type="dxa"/>
            </w:tcMar>
          </w:tcPr>
          <w:p w:rsidR="00F566AF" w:rsidRDefault="00F566AF">
            <w:pPr>
              <w:ind w:firstLine="709"/>
              <w:jc w:val="both"/>
              <w:rPr>
                <w:color w:val="000000"/>
                <w:sz w:val="20"/>
                <w:szCs w:val="20"/>
              </w:rPr>
            </w:pPr>
            <w:r>
              <w:rPr>
                <w:color w:val="000000"/>
                <w:sz w:val="20"/>
                <w:szCs w:val="20"/>
              </w:rPr>
              <w:t>Об'єм скинутих Перевізником стоків визначається за місткістю цистерни. При скиданні стічних вод асенізаційним транспортом застосовуються вимоги щодо якісного складу стічних вод.</w:t>
            </w:r>
          </w:p>
          <w:p w:rsidR="00F566AF" w:rsidRDefault="00F566AF">
            <w:pPr>
              <w:ind w:firstLine="709"/>
              <w:jc w:val="both"/>
            </w:pPr>
            <w:r>
              <w:rPr>
                <w:rStyle w:val="a"/>
                <w:color w:val="000000"/>
                <w:sz w:val="20"/>
                <w:szCs w:val="20"/>
              </w:rPr>
              <w:t xml:space="preserve">Оплата проводиться відповідно до умов договору, але не пізніше 10 числа місяця, наступного за розрахунковим. За відсутності </w:t>
            </w:r>
            <w:r>
              <w:rPr>
                <w:rStyle w:val="a"/>
                <w:b/>
                <w:bCs/>
                <w:color w:val="000000"/>
                <w:sz w:val="20"/>
                <w:szCs w:val="20"/>
              </w:rPr>
              <w:t>технічної можливості здійснити аналіз</w:t>
            </w:r>
            <w:r>
              <w:rPr>
                <w:rStyle w:val="a"/>
                <w:color w:val="000000"/>
                <w:sz w:val="20"/>
                <w:szCs w:val="20"/>
              </w:rPr>
              <w:t xml:space="preserve"> якісного складу стічних вод, при проведенні розрахунків застосовується коефіцієнт кратності</w:t>
            </w:r>
            <w:r>
              <w:rPr>
                <w:rStyle w:val="a"/>
                <w:b/>
                <w:bCs/>
                <w:color w:val="000000"/>
                <w:sz w:val="20"/>
                <w:szCs w:val="20"/>
              </w:rPr>
              <w:t xml:space="preserve"> К</w:t>
            </w:r>
            <w:r>
              <w:rPr>
                <w:rStyle w:val="a"/>
                <w:b/>
                <w:bCs/>
                <w:color w:val="000000"/>
                <w:position w:val="-1"/>
                <w:sz w:val="20"/>
                <w:szCs w:val="20"/>
              </w:rPr>
              <w:t>к</w:t>
            </w:r>
            <w:r>
              <w:rPr>
                <w:rStyle w:val="a"/>
                <w:b/>
                <w:bCs/>
                <w:color w:val="000000"/>
                <w:sz w:val="20"/>
                <w:szCs w:val="20"/>
              </w:rPr>
              <w:t>=5</w:t>
            </w:r>
            <w:r>
              <w:rPr>
                <w:rStyle w:val="a"/>
                <w:color w:val="000000"/>
                <w:sz w:val="20"/>
                <w:szCs w:val="20"/>
              </w:rPr>
              <w:t>.</w:t>
            </w:r>
          </w:p>
        </w:tc>
        <w:tc>
          <w:tcPr>
            <w:tcW w:w="7088" w:type="dxa"/>
            <w:tcBorders>
              <w:left w:val="single" w:sz="2" w:space="0" w:color="000001"/>
              <w:right w:val="single" w:sz="2" w:space="0" w:color="000001"/>
            </w:tcBorders>
            <w:tcMar>
              <w:left w:w="12" w:type="dxa"/>
            </w:tcMar>
          </w:tcPr>
          <w:p w:rsidR="00F566AF" w:rsidRDefault="00F566AF">
            <w:pPr>
              <w:ind w:firstLine="709"/>
              <w:jc w:val="both"/>
            </w:pPr>
            <w:r>
              <w:rPr>
                <w:color w:val="000000"/>
                <w:sz w:val="20"/>
                <w:szCs w:val="20"/>
              </w:rPr>
              <w:t>Об'єм скинутих Перевізником стоків визначається за місткістю цистерни. При скиданні стічних вод асенізаційним транспортом застосовуються вимоги щодо якісного складу стічних вод.</w:t>
            </w:r>
          </w:p>
          <w:p w:rsidR="00F566AF" w:rsidRDefault="00F566AF">
            <w:pPr>
              <w:ind w:firstLine="709"/>
              <w:jc w:val="both"/>
              <w:rPr>
                <w:sz w:val="20"/>
                <w:szCs w:val="20"/>
              </w:rPr>
            </w:pPr>
            <w:r>
              <w:rPr>
                <w:rStyle w:val="a"/>
                <w:color w:val="000000"/>
                <w:sz w:val="20"/>
                <w:szCs w:val="20"/>
              </w:rPr>
              <w:t xml:space="preserve">Оплата проводиться відповідно до умов договору, але не пізніше 10 числа місяця, наступного за розрахунковим. За відсутності </w:t>
            </w:r>
            <w:r>
              <w:rPr>
                <w:rStyle w:val="a"/>
                <w:b/>
                <w:bCs/>
                <w:color w:val="000000"/>
                <w:sz w:val="20"/>
                <w:szCs w:val="20"/>
              </w:rPr>
              <w:t xml:space="preserve">аналізу </w:t>
            </w:r>
            <w:r>
              <w:rPr>
                <w:rStyle w:val="a"/>
                <w:color w:val="000000"/>
                <w:sz w:val="20"/>
                <w:szCs w:val="20"/>
              </w:rPr>
              <w:t xml:space="preserve">якісного складу стічних вод, при проведенні розрахунків застосовується коефіцієнт кратності </w:t>
            </w:r>
            <w:r>
              <w:rPr>
                <w:rStyle w:val="a"/>
                <w:b/>
                <w:bCs/>
                <w:color w:val="000000"/>
                <w:sz w:val="20"/>
                <w:szCs w:val="20"/>
              </w:rPr>
              <w:t>К</w:t>
            </w:r>
            <w:r>
              <w:rPr>
                <w:rStyle w:val="a"/>
                <w:b/>
                <w:bCs/>
                <w:color w:val="000000"/>
                <w:sz w:val="20"/>
                <w:szCs w:val="20"/>
                <w:vertAlign w:val="subscript"/>
              </w:rPr>
              <w:t>к</w:t>
            </w:r>
            <w:r>
              <w:rPr>
                <w:rStyle w:val="a"/>
                <w:b/>
                <w:bCs/>
                <w:color w:val="000000"/>
                <w:sz w:val="20"/>
                <w:szCs w:val="20"/>
              </w:rPr>
              <w:t>=3.</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75</w:t>
            </w:r>
          </w:p>
        </w:tc>
        <w:tc>
          <w:tcPr>
            <w:tcW w:w="6525" w:type="dxa"/>
            <w:tcBorders>
              <w:left w:val="single" w:sz="2" w:space="0" w:color="000001"/>
            </w:tcBorders>
            <w:tcMar>
              <w:left w:w="12" w:type="dxa"/>
            </w:tcMar>
          </w:tcPr>
          <w:p w:rsidR="00F566AF" w:rsidRDefault="00F566AF">
            <w:pPr>
              <w:ind w:firstLine="709"/>
              <w:jc w:val="both"/>
              <w:rPr>
                <w:color w:val="000000"/>
                <w:sz w:val="20"/>
                <w:szCs w:val="20"/>
              </w:rPr>
            </w:pPr>
            <w:r>
              <w:rPr>
                <w:color w:val="000000"/>
                <w:sz w:val="20"/>
                <w:szCs w:val="20"/>
              </w:rPr>
              <w:t xml:space="preserve">Для вивозу рідких відходів між Перевізником і Абонентом укладається </w:t>
            </w:r>
            <w:r>
              <w:rPr>
                <w:b/>
                <w:bCs/>
                <w:color w:val="000000"/>
                <w:sz w:val="20"/>
                <w:szCs w:val="20"/>
              </w:rPr>
              <w:t xml:space="preserve">договір </w:t>
            </w:r>
            <w:bookmarkStart w:id="30" w:name="__DdeLink__5997_1014247925"/>
            <w:r>
              <w:rPr>
                <w:b/>
                <w:bCs/>
                <w:color w:val="000000"/>
                <w:sz w:val="20"/>
                <w:szCs w:val="20"/>
              </w:rPr>
              <w:t>на відкачку та транспортування</w:t>
            </w:r>
            <w:bookmarkEnd w:id="30"/>
            <w:r>
              <w:rPr>
                <w:b/>
                <w:bCs/>
                <w:color w:val="000000"/>
                <w:sz w:val="20"/>
                <w:szCs w:val="20"/>
              </w:rPr>
              <w:t xml:space="preserve"> рідких відходів</w:t>
            </w:r>
            <w:r>
              <w:rPr>
                <w:color w:val="000000"/>
                <w:sz w:val="20"/>
                <w:szCs w:val="20"/>
              </w:rPr>
              <w:t>.</w:t>
            </w:r>
          </w:p>
        </w:tc>
        <w:tc>
          <w:tcPr>
            <w:tcW w:w="7088" w:type="dxa"/>
            <w:tcBorders>
              <w:left w:val="single" w:sz="2" w:space="0" w:color="000001"/>
              <w:right w:val="single" w:sz="2" w:space="0" w:color="000001"/>
            </w:tcBorders>
            <w:tcMar>
              <w:left w:w="12" w:type="dxa"/>
            </w:tcMar>
          </w:tcPr>
          <w:p w:rsidR="00F566AF" w:rsidRDefault="00F566AF">
            <w:pPr>
              <w:ind w:firstLine="709"/>
              <w:jc w:val="both"/>
            </w:pPr>
            <w:r>
              <w:rPr>
                <w:color w:val="000000"/>
                <w:sz w:val="20"/>
                <w:szCs w:val="20"/>
              </w:rPr>
              <w:t xml:space="preserve">Для вивозу рідких відходів між Перевізником і Абонентом укладається </w:t>
            </w:r>
            <w:r>
              <w:rPr>
                <w:b/>
                <w:bCs/>
                <w:color w:val="000000"/>
                <w:sz w:val="20"/>
                <w:szCs w:val="20"/>
              </w:rPr>
              <w:t>договір на відкачку та транспортування стічних вод.</w:t>
            </w:r>
          </w:p>
        </w:tc>
      </w:tr>
      <w:tr w:rsidR="00F566AF">
        <w:trPr>
          <w:gridBefore w:val="1"/>
          <w:wBefore w:w="33" w:type="dxa"/>
        </w:trPr>
        <w:tc>
          <w:tcPr>
            <w:tcW w:w="1175" w:type="dxa"/>
            <w:tcMar>
              <w:left w:w="12" w:type="dxa"/>
            </w:tcMar>
          </w:tcPr>
          <w:p w:rsidR="00F566AF" w:rsidRDefault="00F566AF">
            <w:pPr>
              <w:pStyle w:val="a9"/>
              <w:rPr>
                <w:sz w:val="20"/>
                <w:szCs w:val="20"/>
              </w:rPr>
            </w:pPr>
            <w:r>
              <w:rPr>
                <w:sz w:val="20"/>
                <w:szCs w:val="20"/>
              </w:rPr>
              <w:t>78</w:t>
            </w:r>
          </w:p>
        </w:tc>
        <w:tc>
          <w:tcPr>
            <w:tcW w:w="6525" w:type="dxa"/>
            <w:tcBorders>
              <w:left w:val="single" w:sz="2" w:space="0" w:color="000001"/>
            </w:tcBorders>
            <w:tcMar>
              <w:left w:w="12" w:type="dxa"/>
            </w:tcMar>
          </w:tcPr>
          <w:p w:rsidR="00F566AF" w:rsidRDefault="00F566AF">
            <w:pPr>
              <w:ind w:firstLine="709"/>
              <w:jc w:val="both"/>
              <w:rPr>
                <w:color w:val="000000"/>
                <w:sz w:val="20"/>
                <w:szCs w:val="20"/>
              </w:rPr>
            </w:pPr>
            <w:bookmarkStart w:id="31" w:name="__DdeLink__91729_107834555"/>
            <w:bookmarkEnd w:id="31"/>
            <w:r>
              <w:rPr>
                <w:color w:val="000000"/>
                <w:sz w:val="20"/>
                <w:szCs w:val="20"/>
              </w:rPr>
              <w:t xml:space="preserve">Абоненти, які не приєднані до системи централізованого водовідведення, зобов'язані надавати </w:t>
            </w:r>
            <w:r>
              <w:rPr>
                <w:b/>
                <w:bCs/>
                <w:color w:val="000000"/>
                <w:sz w:val="20"/>
                <w:szCs w:val="20"/>
              </w:rPr>
              <w:t>виробнику</w:t>
            </w:r>
            <w:r>
              <w:rPr>
                <w:color w:val="000000"/>
                <w:sz w:val="20"/>
                <w:szCs w:val="20"/>
              </w:rPr>
              <w:t xml:space="preserve"> копію Договору на відкачку та транспортування рідких відходів з Перевізником, а також до 10 числа місяця, наступного за звітним, подавати </w:t>
            </w:r>
            <w:r>
              <w:rPr>
                <w:b/>
                <w:bCs/>
                <w:color w:val="000000"/>
                <w:sz w:val="20"/>
                <w:szCs w:val="20"/>
              </w:rPr>
              <w:t>виробнику</w:t>
            </w:r>
            <w:r>
              <w:rPr>
                <w:color w:val="000000"/>
                <w:sz w:val="20"/>
                <w:szCs w:val="20"/>
              </w:rPr>
              <w:t xml:space="preserve"> інформацію про об'єми вивезених стоків у звітному місяці.</w:t>
            </w:r>
          </w:p>
          <w:p w:rsidR="00F566AF" w:rsidRDefault="00F566AF">
            <w:pPr>
              <w:ind w:firstLine="709"/>
              <w:jc w:val="both"/>
              <w:rPr>
                <w:b/>
                <w:bCs/>
                <w:color w:val="000000"/>
                <w:sz w:val="20"/>
                <w:szCs w:val="20"/>
              </w:rPr>
            </w:pPr>
          </w:p>
          <w:p w:rsidR="00F566AF" w:rsidRDefault="00F566AF">
            <w:pPr>
              <w:ind w:firstLine="709"/>
              <w:jc w:val="both"/>
              <w:rPr>
                <w:b/>
                <w:bCs/>
                <w:color w:val="000000"/>
                <w:sz w:val="20"/>
                <w:szCs w:val="20"/>
              </w:rPr>
            </w:pPr>
          </w:p>
          <w:p w:rsidR="00F566AF" w:rsidRDefault="00F566AF">
            <w:pPr>
              <w:ind w:firstLine="709"/>
              <w:jc w:val="both"/>
              <w:rPr>
                <w:b/>
                <w:bCs/>
                <w:color w:val="000000"/>
                <w:sz w:val="20"/>
                <w:szCs w:val="20"/>
              </w:rPr>
            </w:pPr>
          </w:p>
          <w:p w:rsidR="00F566AF" w:rsidRDefault="00F566AF">
            <w:pPr>
              <w:ind w:firstLine="709"/>
              <w:jc w:val="both"/>
              <w:rPr>
                <w:b/>
                <w:bCs/>
                <w:color w:val="000000"/>
                <w:sz w:val="20"/>
                <w:szCs w:val="20"/>
              </w:rPr>
            </w:pPr>
          </w:p>
          <w:p w:rsidR="00F566AF" w:rsidRDefault="00F566AF">
            <w:pPr>
              <w:ind w:firstLine="709"/>
              <w:jc w:val="both"/>
              <w:rPr>
                <w:b/>
                <w:bCs/>
                <w:color w:val="000000"/>
                <w:sz w:val="20"/>
                <w:szCs w:val="20"/>
              </w:rPr>
            </w:pPr>
            <w:r>
              <w:rPr>
                <w:b/>
                <w:bCs/>
                <w:color w:val="000000"/>
                <w:sz w:val="20"/>
                <w:szCs w:val="20"/>
              </w:rPr>
              <w:t>У разі неподання Абонентом такої інформації, виробник проводить нарахування плати за водовідведення в обсязі спожитих послуг з водопостачання з усіх джерел водокористування.</w:t>
            </w:r>
          </w:p>
        </w:tc>
        <w:tc>
          <w:tcPr>
            <w:tcW w:w="7088" w:type="dxa"/>
            <w:tcBorders>
              <w:left w:val="single" w:sz="2" w:space="0" w:color="000001"/>
              <w:right w:val="single" w:sz="2" w:space="0" w:color="000001"/>
            </w:tcBorders>
            <w:tcMar>
              <w:left w:w="12" w:type="dxa"/>
            </w:tcMar>
          </w:tcPr>
          <w:p w:rsidR="00F566AF" w:rsidRDefault="00F566AF">
            <w:pPr>
              <w:ind w:firstLine="709"/>
              <w:jc w:val="both"/>
              <w:rPr>
                <w:b/>
                <w:bCs/>
                <w:sz w:val="20"/>
                <w:szCs w:val="20"/>
              </w:rPr>
            </w:pPr>
          </w:p>
          <w:p w:rsidR="00F566AF" w:rsidRDefault="00F566AF">
            <w:pPr>
              <w:jc w:val="both"/>
              <w:rPr>
                <w:b/>
                <w:bCs/>
                <w:sz w:val="20"/>
                <w:szCs w:val="20"/>
              </w:rPr>
            </w:pPr>
          </w:p>
          <w:p w:rsidR="00F566AF" w:rsidRDefault="00F566AF">
            <w:pPr>
              <w:jc w:val="both"/>
              <w:rPr>
                <w:b/>
                <w:bCs/>
                <w:sz w:val="20"/>
                <w:szCs w:val="20"/>
              </w:rPr>
            </w:pPr>
          </w:p>
          <w:p w:rsidR="00F566AF" w:rsidRDefault="00F566AF">
            <w:pPr>
              <w:jc w:val="both"/>
              <w:rPr>
                <w:b/>
                <w:bCs/>
                <w:sz w:val="20"/>
                <w:szCs w:val="20"/>
              </w:rPr>
            </w:pPr>
          </w:p>
          <w:p w:rsidR="00F566AF" w:rsidRDefault="00F566AF">
            <w:pPr>
              <w:jc w:val="both"/>
            </w:pPr>
            <w:r>
              <w:rPr>
                <w:b/>
                <w:bCs/>
                <w:sz w:val="20"/>
                <w:szCs w:val="20"/>
              </w:rPr>
              <w:t xml:space="preserve">          Виключити.</w:t>
            </w:r>
          </w:p>
        </w:tc>
      </w:tr>
    </w:tbl>
    <w:p w:rsidR="00F566AF" w:rsidRDefault="00F566AF">
      <w:pPr>
        <w:pStyle w:val="BodyText"/>
        <w:spacing w:after="0"/>
        <w:jc w:val="both"/>
      </w:pPr>
    </w:p>
    <w:p w:rsidR="00F566AF" w:rsidRDefault="00F566AF">
      <w:pPr>
        <w:pStyle w:val="BodyText"/>
        <w:spacing w:after="0"/>
        <w:jc w:val="both"/>
      </w:pPr>
    </w:p>
    <w:p w:rsidR="00F566AF" w:rsidRDefault="00F566AF">
      <w:pPr>
        <w:pStyle w:val="BodyText"/>
        <w:spacing w:after="0"/>
        <w:jc w:val="both"/>
      </w:pPr>
    </w:p>
    <w:p w:rsidR="00F566AF" w:rsidRDefault="00F566AF" w:rsidP="007C4EF1">
      <w:pPr>
        <w:pStyle w:val="BodyText"/>
        <w:spacing w:after="0"/>
        <w:jc w:val="both"/>
        <w:outlineLvl w:val="0"/>
      </w:pPr>
      <w:r>
        <w:t>ДОДАТКИ ДОДАЮТЬСЯ ОКРЕМИМ ФАЙЛОМ!</w:t>
      </w:r>
    </w:p>
    <w:sectPr w:rsidR="00F566AF" w:rsidSect="00CB7905">
      <w:pgSz w:w="16838" w:h="11906" w:orient="landscape"/>
      <w:pgMar w:top="1134" w:right="1134" w:bottom="1134" w:left="1134" w:header="0" w:footer="0" w:gutter="0"/>
      <w:cols w:space="720"/>
      <w:formProt w:val="0"/>
      <w:docGrid w:linePitch="60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Ё¬?"/>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7905"/>
    <w:rsid w:val="007C4EF1"/>
    <w:rsid w:val="00CA100F"/>
    <w:rsid w:val="00CB7905"/>
    <w:rsid w:val="00ED077C"/>
    <w:rsid w:val="00F566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905"/>
    <w:pPr>
      <w:keepNext/>
      <w:suppressAutoHyphens/>
      <w:textAlignment w:val="baseline"/>
    </w:pPr>
    <w:rPr>
      <w:color w:val="00000A"/>
      <w:sz w:val="24"/>
      <w:szCs w:val="24"/>
      <w:lang w:val="uk-UA"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Шрифт абзацу за замовчуванням"/>
    <w:uiPriority w:val="99"/>
    <w:rsid w:val="00CB7905"/>
  </w:style>
  <w:style w:type="character" w:customStyle="1" w:styleId="a0">
    <w:name w:val="Гіперпосилання"/>
    <w:uiPriority w:val="99"/>
    <w:rsid w:val="00CB7905"/>
    <w:rPr>
      <w:color w:val="000080"/>
      <w:u w:val="single"/>
    </w:rPr>
  </w:style>
  <w:style w:type="character" w:customStyle="1" w:styleId="a1">
    <w:name w:val="Символ нумерації"/>
    <w:uiPriority w:val="99"/>
    <w:rsid w:val="00CB7905"/>
  </w:style>
  <w:style w:type="character" w:customStyle="1" w:styleId="WW8Num1z0">
    <w:name w:val="WW8Num1z0"/>
    <w:uiPriority w:val="99"/>
    <w:rsid w:val="00CB7905"/>
  </w:style>
  <w:style w:type="character" w:customStyle="1" w:styleId="WW8Num1z1">
    <w:name w:val="WW8Num1z1"/>
    <w:uiPriority w:val="99"/>
    <w:rsid w:val="00CB7905"/>
  </w:style>
  <w:style w:type="character" w:customStyle="1" w:styleId="WW8Num1z2">
    <w:name w:val="WW8Num1z2"/>
    <w:uiPriority w:val="99"/>
    <w:rsid w:val="00CB7905"/>
  </w:style>
  <w:style w:type="character" w:customStyle="1" w:styleId="WW8Num1z3">
    <w:name w:val="WW8Num1z3"/>
    <w:uiPriority w:val="99"/>
    <w:rsid w:val="00CB7905"/>
  </w:style>
  <w:style w:type="character" w:customStyle="1" w:styleId="WW8Num1z4">
    <w:name w:val="WW8Num1z4"/>
    <w:uiPriority w:val="99"/>
    <w:rsid w:val="00CB7905"/>
  </w:style>
  <w:style w:type="character" w:customStyle="1" w:styleId="WW8Num1z5">
    <w:name w:val="WW8Num1z5"/>
    <w:uiPriority w:val="99"/>
    <w:rsid w:val="00CB7905"/>
  </w:style>
  <w:style w:type="character" w:customStyle="1" w:styleId="WW8Num1z6">
    <w:name w:val="WW8Num1z6"/>
    <w:uiPriority w:val="99"/>
    <w:rsid w:val="00CB7905"/>
  </w:style>
  <w:style w:type="character" w:customStyle="1" w:styleId="WW8Num1z7">
    <w:name w:val="WW8Num1z7"/>
    <w:uiPriority w:val="99"/>
    <w:rsid w:val="00CB7905"/>
  </w:style>
  <w:style w:type="character" w:customStyle="1" w:styleId="WW8Num1z8">
    <w:name w:val="WW8Num1z8"/>
    <w:uiPriority w:val="99"/>
    <w:rsid w:val="00CB7905"/>
  </w:style>
  <w:style w:type="character" w:customStyle="1" w:styleId="WW8Num5z0">
    <w:name w:val="WW8Num5z0"/>
    <w:uiPriority w:val="99"/>
    <w:rsid w:val="00CB7905"/>
    <w:rPr>
      <w:sz w:val="20"/>
      <w:lang w:val="uk-UA"/>
    </w:rPr>
  </w:style>
  <w:style w:type="character" w:customStyle="1" w:styleId="WWCharLFO2LVL1">
    <w:name w:val="WW_CharLFO2LVL1"/>
    <w:uiPriority w:val="99"/>
    <w:rsid w:val="00CB7905"/>
    <w:rPr>
      <w:rFonts w:ascii="Liberation Serif" w:hAnsi="Liberation Serif"/>
      <w:sz w:val="20"/>
      <w:lang w:val="uk-UA"/>
    </w:rPr>
  </w:style>
  <w:style w:type="character" w:customStyle="1" w:styleId="a2">
    <w:name w:val="Текст примітки Знак"/>
    <w:basedOn w:val="a"/>
    <w:uiPriority w:val="99"/>
    <w:rsid w:val="00CB7905"/>
    <w:rPr>
      <w:rFonts w:cs="Times New Roman"/>
      <w:sz w:val="18"/>
      <w:szCs w:val="18"/>
    </w:rPr>
  </w:style>
  <w:style w:type="character" w:customStyle="1" w:styleId="a3">
    <w:name w:val="Знак примітки"/>
    <w:basedOn w:val="a"/>
    <w:uiPriority w:val="99"/>
    <w:rsid w:val="00CB7905"/>
    <w:rPr>
      <w:rFonts w:cs="Times New Roman"/>
      <w:sz w:val="16"/>
      <w:szCs w:val="16"/>
    </w:rPr>
  </w:style>
  <w:style w:type="character" w:customStyle="1" w:styleId="a4">
    <w:name w:val="Текст у виносці Знак"/>
    <w:basedOn w:val="a"/>
    <w:uiPriority w:val="99"/>
    <w:rsid w:val="00CB7905"/>
    <w:rPr>
      <w:rFonts w:ascii="Segoe UI" w:hAnsi="Segoe UI" w:cs="Times New Roman"/>
      <w:sz w:val="16"/>
      <w:szCs w:val="16"/>
    </w:rPr>
  </w:style>
  <w:style w:type="character" w:customStyle="1" w:styleId="ListLabel1">
    <w:name w:val="ListLabel 1"/>
    <w:uiPriority w:val="99"/>
    <w:rsid w:val="00CB7905"/>
    <w:rPr>
      <w:rFonts w:ascii="Times New Roman" w:hAnsi="Times New Roman"/>
      <w:sz w:val="20"/>
      <w:lang w:val="uk-UA"/>
    </w:rPr>
  </w:style>
  <w:style w:type="character" w:customStyle="1" w:styleId="ListLabel2">
    <w:name w:val="ListLabel 2"/>
    <w:uiPriority w:val="99"/>
    <w:rsid w:val="00CB7905"/>
    <w:rPr>
      <w:rFonts w:ascii="Times New Roman" w:hAnsi="Times New Roman"/>
      <w:sz w:val="20"/>
      <w:lang w:val="uk-UA"/>
    </w:rPr>
  </w:style>
  <w:style w:type="character" w:customStyle="1" w:styleId="ListLabel3">
    <w:name w:val="ListLabel 3"/>
    <w:uiPriority w:val="99"/>
    <w:rsid w:val="00CB7905"/>
    <w:rPr>
      <w:rFonts w:ascii="Times New Roman" w:hAnsi="Times New Roman"/>
      <w:sz w:val="20"/>
      <w:lang w:val="uk-UA"/>
    </w:rPr>
  </w:style>
  <w:style w:type="character" w:customStyle="1" w:styleId="ListLabel4">
    <w:name w:val="ListLabel 4"/>
    <w:uiPriority w:val="99"/>
    <w:rsid w:val="00CB7905"/>
    <w:rPr>
      <w:rFonts w:ascii="Times New Roman" w:hAnsi="Times New Roman"/>
      <w:sz w:val="20"/>
      <w:lang w:val="uk-UA"/>
    </w:rPr>
  </w:style>
  <w:style w:type="character" w:customStyle="1" w:styleId="ListLabel5">
    <w:name w:val="ListLabel 5"/>
    <w:uiPriority w:val="99"/>
    <w:rsid w:val="00CB7905"/>
    <w:rPr>
      <w:rFonts w:ascii="Times New Roman" w:hAnsi="Times New Roman"/>
      <w:sz w:val="20"/>
      <w:lang w:val="uk-UA"/>
    </w:rPr>
  </w:style>
  <w:style w:type="character" w:customStyle="1" w:styleId="ListLabel6">
    <w:name w:val="ListLabel 6"/>
    <w:uiPriority w:val="99"/>
    <w:rsid w:val="00CB7905"/>
    <w:rPr>
      <w:rFonts w:ascii="Times New Roman" w:hAnsi="Times New Roman"/>
      <w:sz w:val="20"/>
      <w:lang w:val="uk-UA"/>
    </w:rPr>
  </w:style>
  <w:style w:type="character" w:customStyle="1" w:styleId="ListLabel7">
    <w:name w:val="ListLabel 7"/>
    <w:uiPriority w:val="99"/>
    <w:rsid w:val="00CB7905"/>
    <w:rPr>
      <w:rFonts w:ascii="Times New Roman" w:hAnsi="Times New Roman"/>
      <w:sz w:val="20"/>
      <w:lang w:val="uk-UA"/>
    </w:rPr>
  </w:style>
  <w:style w:type="character" w:customStyle="1" w:styleId="ListLabel8">
    <w:name w:val="ListLabel 8"/>
    <w:uiPriority w:val="99"/>
    <w:rsid w:val="00CB7905"/>
    <w:rPr>
      <w:rFonts w:ascii="Times New Roman" w:hAnsi="Times New Roman"/>
      <w:sz w:val="20"/>
      <w:lang w:val="uk-UA"/>
    </w:rPr>
  </w:style>
  <w:style w:type="character" w:customStyle="1" w:styleId="ListLabel9">
    <w:name w:val="ListLabel 9"/>
    <w:uiPriority w:val="99"/>
    <w:rsid w:val="00CB7905"/>
    <w:rPr>
      <w:rFonts w:ascii="Times New Roman" w:hAnsi="Times New Roman"/>
      <w:sz w:val="20"/>
      <w:lang w:val="uk-UA"/>
    </w:rPr>
  </w:style>
  <w:style w:type="character" w:customStyle="1" w:styleId="ListLabel10">
    <w:name w:val="ListLabel 10"/>
    <w:uiPriority w:val="99"/>
    <w:rsid w:val="00CB7905"/>
    <w:rPr>
      <w:rFonts w:ascii="Times New Roman" w:hAnsi="Times New Roman"/>
      <w:sz w:val="20"/>
      <w:lang w:val="uk-UA"/>
    </w:rPr>
  </w:style>
  <w:style w:type="character" w:customStyle="1" w:styleId="ListLabel11">
    <w:name w:val="ListLabel 11"/>
    <w:uiPriority w:val="99"/>
    <w:rsid w:val="00CB7905"/>
    <w:rPr>
      <w:rFonts w:ascii="Times New Roman" w:hAnsi="Times New Roman"/>
      <w:sz w:val="20"/>
      <w:lang w:val="uk-UA"/>
    </w:rPr>
  </w:style>
  <w:style w:type="character" w:customStyle="1" w:styleId="ListLabel12">
    <w:name w:val="ListLabel 12"/>
    <w:uiPriority w:val="99"/>
    <w:rsid w:val="00CB7905"/>
    <w:rPr>
      <w:rFonts w:ascii="Times New Roman" w:hAnsi="Times New Roman"/>
      <w:sz w:val="20"/>
      <w:lang w:val="uk-UA"/>
    </w:rPr>
  </w:style>
  <w:style w:type="paragraph" w:customStyle="1" w:styleId="a5">
    <w:name w:val="Заголовок"/>
    <w:basedOn w:val="Normal"/>
    <w:next w:val="BodyText"/>
    <w:uiPriority w:val="99"/>
    <w:rsid w:val="00CB7905"/>
    <w:pPr>
      <w:spacing w:before="240" w:after="120"/>
    </w:pPr>
    <w:rPr>
      <w:rFonts w:ascii="Arial" w:eastAsia="Microsoft YaHei" w:hAnsi="Arial"/>
      <w:sz w:val="28"/>
      <w:szCs w:val="28"/>
    </w:rPr>
  </w:style>
  <w:style w:type="paragraph" w:styleId="BodyText">
    <w:name w:val="Body Text"/>
    <w:basedOn w:val="Normal"/>
    <w:link w:val="BodyTextChar"/>
    <w:uiPriority w:val="99"/>
    <w:rsid w:val="00CB7905"/>
    <w:pPr>
      <w:spacing w:after="120"/>
    </w:pPr>
  </w:style>
  <w:style w:type="character" w:customStyle="1" w:styleId="BodyTextChar">
    <w:name w:val="Body Text Char"/>
    <w:basedOn w:val="DefaultParagraphFont"/>
    <w:link w:val="BodyText"/>
    <w:uiPriority w:val="99"/>
    <w:semiHidden/>
    <w:rsid w:val="0017633A"/>
    <w:rPr>
      <w:color w:val="00000A"/>
      <w:sz w:val="24"/>
      <w:szCs w:val="21"/>
      <w:lang w:val="uk-UA" w:eastAsia="zh-CN" w:bidi="hi-IN"/>
    </w:rPr>
  </w:style>
  <w:style w:type="paragraph" w:styleId="List">
    <w:name w:val="List"/>
    <w:basedOn w:val="BodyText"/>
    <w:uiPriority w:val="99"/>
    <w:rsid w:val="00CB7905"/>
  </w:style>
  <w:style w:type="paragraph" w:styleId="Caption">
    <w:name w:val="caption"/>
    <w:basedOn w:val="Normal"/>
    <w:uiPriority w:val="99"/>
    <w:qFormat/>
    <w:rsid w:val="00CB7905"/>
    <w:pPr>
      <w:suppressLineNumbers/>
      <w:spacing w:before="120" w:after="120"/>
    </w:pPr>
    <w:rPr>
      <w:rFonts w:cs="Arial"/>
      <w:i/>
      <w:iCs/>
    </w:rPr>
  </w:style>
  <w:style w:type="paragraph" w:customStyle="1" w:styleId="a6">
    <w:name w:val="Покажчик"/>
    <w:basedOn w:val="Normal"/>
    <w:uiPriority w:val="99"/>
    <w:rsid w:val="00CB7905"/>
    <w:pPr>
      <w:suppressLineNumbers/>
    </w:pPr>
  </w:style>
  <w:style w:type="paragraph" w:customStyle="1" w:styleId="a7">
    <w:name w:val="Звичайний"/>
    <w:uiPriority w:val="99"/>
    <w:rsid w:val="00CB7905"/>
    <w:pPr>
      <w:keepNext/>
      <w:widowControl w:val="0"/>
      <w:suppressAutoHyphens/>
      <w:textAlignment w:val="baseline"/>
    </w:pPr>
    <w:rPr>
      <w:color w:val="00000A"/>
      <w:sz w:val="24"/>
      <w:szCs w:val="24"/>
      <w:lang w:val="uk-UA" w:eastAsia="zh-CN" w:bidi="hi-IN"/>
    </w:rPr>
  </w:style>
  <w:style w:type="paragraph" w:customStyle="1" w:styleId="a8">
    <w:name w:val="Назва об'єкта"/>
    <w:basedOn w:val="Normal"/>
    <w:uiPriority w:val="99"/>
    <w:rsid w:val="00CB7905"/>
    <w:pPr>
      <w:suppressLineNumbers/>
      <w:spacing w:before="120" w:after="120"/>
    </w:pPr>
    <w:rPr>
      <w:i/>
      <w:iCs/>
    </w:rPr>
  </w:style>
  <w:style w:type="paragraph" w:customStyle="1" w:styleId="a9">
    <w:name w:val="Вміст таблиці"/>
    <w:basedOn w:val="Normal"/>
    <w:uiPriority w:val="99"/>
    <w:rsid w:val="00CB7905"/>
    <w:pPr>
      <w:suppressLineNumbers/>
    </w:pPr>
  </w:style>
  <w:style w:type="paragraph" w:customStyle="1" w:styleId="aa">
    <w:name w:val="Заголовок таблиці"/>
    <w:basedOn w:val="a9"/>
    <w:uiPriority w:val="99"/>
    <w:rsid w:val="00CB7905"/>
    <w:pPr>
      <w:jc w:val="center"/>
    </w:pPr>
    <w:rPr>
      <w:b/>
      <w:bCs/>
    </w:rPr>
  </w:style>
  <w:style w:type="paragraph" w:customStyle="1" w:styleId="ab">
    <w:name w:val="Горизонтальна лінія"/>
    <w:basedOn w:val="Normal"/>
    <w:uiPriority w:val="99"/>
    <w:rsid w:val="00CB7905"/>
    <w:pPr>
      <w:suppressLineNumbers/>
      <w:spacing w:after="283"/>
    </w:pPr>
    <w:rPr>
      <w:sz w:val="12"/>
      <w:szCs w:val="12"/>
    </w:rPr>
  </w:style>
  <w:style w:type="paragraph" w:customStyle="1" w:styleId="ac">
    <w:name w:val="Текст у вказаному форматі"/>
    <w:basedOn w:val="Normal"/>
    <w:uiPriority w:val="99"/>
    <w:rsid w:val="00CB7905"/>
    <w:rPr>
      <w:rFonts w:ascii="Courier New" w:eastAsia="NSimSun" w:hAnsi="Courier New" w:cs="Courier New"/>
      <w:sz w:val="20"/>
      <w:szCs w:val="20"/>
    </w:rPr>
  </w:style>
  <w:style w:type="paragraph" w:customStyle="1" w:styleId="ad">
    <w:name w:val="Текст примітки"/>
    <w:basedOn w:val="a7"/>
    <w:uiPriority w:val="99"/>
    <w:rsid w:val="00CB7905"/>
    <w:rPr>
      <w:sz w:val="20"/>
      <w:szCs w:val="18"/>
    </w:rPr>
  </w:style>
  <w:style w:type="paragraph" w:customStyle="1" w:styleId="ae">
    <w:name w:val="Текст у виносці"/>
    <w:basedOn w:val="a7"/>
    <w:uiPriority w:val="99"/>
    <w:rsid w:val="00CB7905"/>
    <w:rPr>
      <w:rFonts w:ascii="Segoe UI" w:hAnsi="Segoe UI"/>
      <w:sz w:val="18"/>
      <w:szCs w:val="16"/>
    </w:rPr>
  </w:style>
  <w:style w:type="paragraph" w:customStyle="1" w:styleId="DocumentMap">
    <w:name w:val="DocumentMap"/>
    <w:uiPriority w:val="99"/>
    <w:rsid w:val="00CB7905"/>
    <w:pPr>
      <w:keepNext/>
      <w:spacing w:after="160" w:line="252" w:lineRule="auto"/>
    </w:pPr>
    <w:rPr>
      <w:rFonts w:ascii="Calibri" w:hAnsi="Calibri" w:cs="Times New Roman"/>
      <w:color w:val="00000A"/>
      <w:lang w:val="uk-UA"/>
    </w:rPr>
  </w:style>
  <w:style w:type="paragraph" w:styleId="DocumentMap0">
    <w:name w:val="Document Map"/>
    <w:basedOn w:val="Normal"/>
    <w:link w:val="DocumentMapChar"/>
    <w:uiPriority w:val="99"/>
    <w:semiHidden/>
    <w:rsid w:val="007C4EF1"/>
    <w:pPr>
      <w:shd w:val="clear" w:color="auto" w:fill="000080"/>
    </w:pPr>
    <w:rPr>
      <w:rFonts w:ascii="Tahoma" w:hAnsi="Tahoma" w:cs="Tahoma"/>
      <w:sz w:val="20"/>
      <w:szCs w:val="20"/>
    </w:rPr>
  </w:style>
  <w:style w:type="character" w:customStyle="1" w:styleId="DocumentMapChar">
    <w:name w:val="Document Map Char"/>
    <w:basedOn w:val="DefaultParagraphFont"/>
    <w:link w:val="DocumentMap0"/>
    <w:uiPriority w:val="99"/>
    <w:semiHidden/>
    <w:rsid w:val="0017633A"/>
    <w:rPr>
      <w:color w:val="00000A"/>
      <w:sz w:val="0"/>
      <w:szCs w:val="0"/>
      <w:lang w:val="uk-UA"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3257</TotalTime>
  <Pages>7</Pages>
  <Words>3657</Words>
  <Characters>20846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Shadow</cp:lastModifiedBy>
  <cp:revision>178</cp:revision>
  <cp:lastPrinted>2019-12-23T12:57:00Z</cp:lastPrinted>
  <dcterms:created xsi:type="dcterms:W3CDTF">2018-05-15T16:24:00Z</dcterms:created>
  <dcterms:modified xsi:type="dcterms:W3CDTF">2020-03-17T08:39:00Z</dcterms:modified>
</cp:coreProperties>
</file>