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22"/>
        <w:widowControl/>
        <w:spacing w:before="0" w:after="0"/>
        <w:ind w:left="0" w:right="0" w:firstLine="709"/>
        <w:jc w:val="right"/>
        <w:rPr/>
      </w:pPr>
      <w:r>
        <w:rPr>
          <w:rStyle w:val="Style14"/>
          <w:b/>
          <w:color w:val="000000"/>
          <w:sz w:val="28"/>
          <w:szCs w:val="28"/>
        </w:rPr>
        <w:t>ЗАТВЕРДЖЕНО</w:t>
      </w:r>
    </w:p>
    <w:p>
      <w:pPr>
        <w:pStyle w:val="Style22"/>
        <w:widowControl/>
        <w:spacing w:before="0" w:after="0"/>
        <w:ind w:left="0" w:right="0" w:firstLine="709"/>
        <w:jc w:val="right"/>
        <w:rPr/>
      </w:pPr>
      <w:r>
        <w:rPr>
          <w:rStyle w:val="Style14"/>
          <w:b/>
          <w:color w:val="000000"/>
          <w:sz w:val="28"/>
          <w:szCs w:val="28"/>
        </w:rPr>
        <w:t>рішенням виконавчого комітету</w:t>
      </w:r>
    </w:p>
    <w:p>
      <w:pPr>
        <w:pStyle w:val="Style22"/>
        <w:widowControl/>
        <w:spacing w:before="0" w:after="0"/>
        <w:ind w:left="0" w:right="0" w:firstLine="709"/>
        <w:jc w:val="right"/>
        <w:rPr/>
      </w:pPr>
      <w:r>
        <w:rPr>
          <w:rStyle w:val="Style14"/>
          <w:b/>
          <w:color w:val="000000"/>
          <w:sz w:val="28"/>
          <w:szCs w:val="28"/>
        </w:rPr>
        <w:t>Тернопільської міської ради</w:t>
      </w:r>
    </w:p>
    <w:p>
      <w:pPr>
        <w:pStyle w:val="Style22"/>
        <w:widowControl/>
        <w:spacing w:before="0" w:after="0"/>
        <w:ind w:left="0" w:right="0" w:firstLine="709"/>
        <w:jc w:val="right"/>
        <w:rPr/>
      </w:pPr>
      <w:r>
        <w:rPr>
          <w:rStyle w:val="Style14"/>
          <w:b/>
          <w:color w:val="000000"/>
          <w:sz w:val="28"/>
          <w:szCs w:val="28"/>
        </w:rPr>
        <w:t>№</w:t>
      </w:r>
      <w:r>
        <w:rPr>
          <w:rStyle w:val="Style14"/>
          <w:b/>
          <w:color w:val="000000"/>
          <w:sz w:val="28"/>
          <w:szCs w:val="28"/>
        </w:rPr>
        <w:t>____ від “___” ___________ 2018 року</w:t>
      </w:r>
    </w:p>
    <w:p>
      <w:pPr>
        <w:pStyle w:val="Style22"/>
        <w:widowControl/>
        <w:spacing w:before="0" w:after="0"/>
        <w:ind w:left="0" w:right="0" w:firstLine="709"/>
        <w:jc w:val="center"/>
        <w:rPr>
          <w:rStyle w:val="Style14"/>
          <w:b/>
          <w:b/>
          <w:color w:val="000000"/>
          <w:sz w:val="28"/>
          <w:szCs w:val="28"/>
        </w:rPr>
      </w:pPr>
      <w:r>
        <w:rPr/>
      </w:r>
    </w:p>
    <w:p>
      <w:pPr>
        <w:pStyle w:val="Style22"/>
        <w:widowControl/>
        <w:spacing w:before="0" w:after="0"/>
        <w:ind w:left="0" w:right="0" w:firstLine="709"/>
        <w:jc w:val="center"/>
        <w:rPr>
          <w:rStyle w:val="Style14"/>
          <w:b/>
          <w:b/>
          <w:color w:val="000000"/>
          <w:sz w:val="28"/>
          <w:szCs w:val="28"/>
        </w:rPr>
      </w:pPr>
      <w:r>
        <w:rPr/>
      </w:r>
    </w:p>
    <w:p>
      <w:pPr>
        <w:pStyle w:val="Style22"/>
        <w:widowControl/>
        <w:spacing w:before="0" w:after="0"/>
        <w:ind w:left="0" w:right="0" w:firstLine="709"/>
        <w:jc w:val="center"/>
        <w:rPr>
          <w:rStyle w:val="Style14"/>
          <w:b/>
          <w:b/>
          <w:color w:val="000000"/>
          <w:sz w:val="28"/>
          <w:szCs w:val="28"/>
        </w:rPr>
      </w:pPr>
      <w:r>
        <w:rPr/>
      </w:r>
    </w:p>
    <w:p>
      <w:pPr>
        <w:pStyle w:val="Style22"/>
        <w:widowControl/>
        <w:spacing w:before="0" w:after="0"/>
        <w:ind w:left="0" w:right="0" w:firstLine="709"/>
        <w:jc w:val="center"/>
        <w:rPr/>
      </w:pPr>
      <w:r>
        <w:rPr>
          <w:rStyle w:val="Style14"/>
          <w:b/>
          <w:color w:val="000000"/>
          <w:sz w:val="28"/>
          <w:szCs w:val="28"/>
        </w:rPr>
        <w:t>МІСЦЕВІ ПРАВИЛА</w:t>
      </w:r>
      <w:r>
        <w:rPr>
          <w:rStyle w:val="Style14"/>
          <w:color w:val="000000"/>
          <w:sz w:val="28"/>
          <w:szCs w:val="28"/>
        </w:rPr>
        <w:br/>
      </w:r>
      <w:r>
        <w:rPr>
          <w:rStyle w:val="Style14"/>
          <w:b/>
          <w:color w:val="000000"/>
          <w:sz w:val="28"/>
          <w:szCs w:val="28"/>
        </w:rPr>
        <w:t>приймання стічних вод до систем централізованого водовідведення міста Тернопіль</w:t>
      </w:r>
    </w:p>
    <w:p>
      <w:pPr>
        <w:pStyle w:val="Style22"/>
        <w:widowControl/>
        <w:spacing w:before="0" w:after="0"/>
        <w:ind w:left="0" w:right="0" w:firstLine="709"/>
        <w:jc w:val="both"/>
        <w:rPr>
          <w:b/>
          <w:b/>
          <w:color w:val="000000"/>
          <w:sz w:val="28"/>
          <w:szCs w:val="28"/>
        </w:rPr>
      </w:pPr>
      <w:r>
        <w:rPr>
          <w:b/>
          <w:color w:val="000000"/>
          <w:sz w:val="28"/>
          <w:szCs w:val="28"/>
        </w:rPr>
      </w:r>
    </w:p>
    <w:p>
      <w:pPr>
        <w:pStyle w:val="Style22"/>
        <w:widowControl/>
        <w:spacing w:before="0" w:after="0"/>
        <w:ind w:left="0" w:right="0" w:firstLine="709"/>
        <w:jc w:val="center"/>
        <w:rPr>
          <w:b/>
          <w:b/>
          <w:color w:val="000000"/>
          <w:sz w:val="28"/>
          <w:szCs w:val="28"/>
        </w:rPr>
      </w:pPr>
      <w:bookmarkStart w:id="0" w:name="n16"/>
      <w:bookmarkEnd w:id="0"/>
      <w:r>
        <w:rPr>
          <w:b/>
          <w:color w:val="000000"/>
          <w:sz w:val="28"/>
          <w:szCs w:val="28"/>
        </w:rPr>
        <w:t>І. Загальні положення</w:t>
      </w:r>
    </w:p>
    <w:p>
      <w:pPr>
        <w:pStyle w:val="Style22"/>
        <w:widowControl/>
        <w:spacing w:before="0" w:after="0"/>
        <w:ind w:left="0" w:right="0" w:firstLine="709"/>
        <w:jc w:val="both"/>
        <w:rPr>
          <w:color w:val="000000"/>
          <w:sz w:val="28"/>
          <w:szCs w:val="28"/>
        </w:rPr>
      </w:pPr>
      <w:bookmarkStart w:id="1" w:name="n17"/>
      <w:bookmarkEnd w:id="1"/>
      <w:r>
        <w:rPr>
          <w:color w:val="000000"/>
          <w:sz w:val="28"/>
          <w:szCs w:val="28"/>
        </w:rPr>
        <w:t>1. Ці Правила розроблено з метою:</w:t>
      </w:r>
    </w:p>
    <w:p>
      <w:pPr>
        <w:pStyle w:val="Style22"/>
        <w:widowControl/>
        <w:spacing w:before="0" w:after="0"/>
        <w:ind w:left="0" w:right="0" w:firstLine="709"/>
        <w:jc w:val="both"/>
        <w:rPr>
          <w:color w:val="000000"/>
          <w:sz w:val="28"/>
          <w:szCs w:val="28"/>
        </w:rPr>
      </w:pPr>
      <w:bookmarkStart w:id="2" w:name="n18"/>
      <w:bookmarkEnd w:id="2"/>
      <w:r>
        <w:rPr>
          <w:color w:val="000000"/>
          <w:sz w:val="28"/>
          <w:szCs w:val="28"/>
        </w:rPr>
        <w:t>1) захисту здоров’я персоналу систем збирання, відведення стічних вод та очисних споруд;</w:t>
      </w:r>
    </w:p>
    <w:p>
      <w:pPr>
        <w:pStyle w:val="Style22"/>
        <w:widowControl/>
        <w:spacing w:before="0" w:after="0"/>
        <w:ind w:left="0" w:right="0" w:firstLine="709"/>
        <w:jc w:val="both"/>
        <w:rPr>
          <w:color w:val="000000"/>
          <w:sz w:val="28"/>
          <w:szCs w:val="28"/>
        </w:rPr>
      </w:pPr>
      <w:bookmarkStart w:id="3" w:name="n19"/>
      <w:bookmarkEnd w:id="3"/>
      <w:r>
        <w:rPr>
          <w:color w:val="000000"/>
          <w:sz w:val="28"/>
          <w:szCs w:val="28"/>
        </w:rPr>
        <w:t>2) запобігання псуванню обладнання систем водовідведення, очисних і суміжних з ними підприємств;</w:t>
      </w:r>
    </w:p>
    <w:p>
      <w:pPr>
        <w:pStyle w:val="Style22"/>
        <w:widowControl/>
        <w:spacing w:before="0" w:after="0"/>
        <w:ind w:left="0" w:right="0" w:firstLine="709"/>
        <w:jc w:val="both"/>
        <w:rPr>
          <w:color w:val="000000"/>
          <w:sz w:val="28"/>
          <w:szCs w:val="28"/>
        </w:rPr>
      </w:pPr>
      <w:bookmarkStart w:id="4" w:name="n20"/>
      <w:bookmarkEnd w:id="4"/>
      <w:r>
        <w:rPr>
          <w:color w:val="000000"/>
          <w:sz w:val="28"/>
          <w:szCs w:val="28"/>
        </w:rPr>
        <w:t>3) гарантування безперебійної в межах регламентних норм роботи споруд очищення стічних вод та обробки осадів;</w:t>
      </w:r>
    </w:p>
    <w:p>
      <w:pPr>
        <w:pStyle w:val="Style22"/>
        <w:widowControl/>
        <w:spacing w:before="0" w:after="0"/>
        <w:ind w:left="0" w:right="0" w:firstLine="709"/>
        <w:jc w:val="both"/>
        <w:rPr>
          <w:color w:val="000000"/>
          <w:sz w:val="28"/>
          <w:szCs w:val="28"/>
        </w:rPr>
      </w:pPr>
      <w:bookmarkStart w:id="5" w:name="n21"/>
      <w:bookmarkEnd w:id="5"/>
      <w:r>
        <w:rPr>
          <w:color w:val="000000"/>
          <w:sz w:val="28"/>
          <w:szCs w:val="28"/>
        </w:rPr>
        <w:t>4) гарантування, що скиди стічних вод з очисних споруд не спричинять згубного впливу на навколишнє середовище;</w:t>
      </w:r>
    </w:p>
    <w:p>
      <w:pPr>
        <w:pStyle w:val="Style22"/>
        <w:widowControl/>
        <w:spacing w:before="0" w:after="0"/>
        <w:ind w:left="0" w:right="0" w:firstLine="709"/>
        <w:jc w:val="both"/>
        <w:rPr>
          <w:color w:val="000000"/>
          <w:sz w:val="28"/>
          <w:szCs w:val="28"/>
        </w:rPr>
      </w:pPr>
      <w:bookmarkStart w:id="6" w:name="n22"/>
      <w:bookmarkEnd w:id="6"/>
      <w:r>
        <w:rPr>
          <w:color w:val="000000"/>
          <w:sz w:val="28"/>
          <w:szCs w:val="28"/>
        </w:rPr>
        <w:t>5) гарантування, що осад може бути утилізований у безпечний і прийнятний для навколишнього середовища спосіб.</w:t>
      </w:r>
    </w:p>
    <w:p>
      <w:pPr>
        <w:pStyle w:val="Style22"/>
        <w:widowControl/>
        <w:spacing w:before="0" w:after="0"/>
        <w:ind w:left="0" w:right="0" w:firstLine="709"/>
        <w:jc w:val="both"/>
        <w:rPr>
          <w:color w:val="000000"/>
          <w:sz w:val="28"/>
          <w:szCs w:val="28"/>
        </w:rPr>
      </w:pPr>
      <w:bookmarkStart w:id="7" w:name="n23"/>
      <w:bookmarkEnd w:id="7"/>
      <w:r>
        <w:rPr>
          <w:color w:val="000000"/>
          <w:sz w:val="28"/>
          <w:szCs w:val="28"/>
        </w:rPr>
        <w:t>2. Ці Правила поширюються на суб'єктів господарювання, які надають послуги з централізованого водовідведення (відведення та/або очищення стічних вод) (далі - виробники), на юридичних осіб незалежно від форм власності та відомчої належності, фізичних осіб - підприємців, фізичних осіб, які провадять незалежну професійну діяльність і взяті на облік як самозайняті особи у контролюючих органах згідно з Податковим кодексом України, які скидають стічні води до систем централізованого водовідведення або безпосередньо у каналізаційні очисні споруди (далі — споживачі).</w:t>
      </w:r>
    </w:p>
    <w:p>
      <w:pPr>
        <w:pStyle w:val="Style22"/>
        <w:widowControl/>
        <w:spacing w:before="0" w:after="0"/>
        <w:ind w:left="0" w:right="0" w:firstLine="709"/>
        <w:jc w:val="both"/>
        <w:rPr>
          <w:color w:val="000000"/>
          <w:sz w:val="28"/>
          <w:szCs w:val="28"/>
        </w:rPr>
      </w:pPr>
      <w:r>
        <w:rPr>
          <w:color w:val="000000"/>
          <w:sz w:val="28"/>
          <w:szCs w:val="28"/>
        </w:rPr>
        <w:t>Ці Правила поширюються на усіх споживачів, які скидають стічні води до систем централізованого водовідведення міста Тернопіль, як тих, що знаходяться в місті Тернопіль, так і тих, що знаходяться поза межами міста Тернопіль, незалежно від місця знаходження об’єктів водовідведення.</w:t>
      </w:r>
    </w:p>
    <w:p>
      <w:pPr>
        <w:pStyle w:val="Style22"/>
        <w:widowControl/>
        <w:spacing w:before="0" w:after="0"/>
        <w:ind w:left="0" w:right="0" w:firstLine="709"/>
        <w:jc w:val="both"/>
        <w:rPr/>
      </w:pPr>
      <w:bookmarkStart w:id="8" w:name="n24"/>
      <w:bookmarkEnd w:id="8"/>
      <w:r>
        <w:rPr>
          <w:rStyle w:val="Style14"/>
          <w:color w:val="000000"/>
          <w:sz w:val="28"/>
          <w:szCs w:val="28"/>
        </w:rPr>
        <w:t>3. Терміни, використані у цих Правилах, вживаються в значеннях, наведених у Водному кодексі України, Законі України “Про питну воду, питне водопостачання та водовідведення”, Правилах користування системами централізованого комунального водопостачання та водовідведення в населених пунктах України, затверджених наказом Міністерства з питань житлово-комунального господарства України від 27.06.2008 №190, Правил приймання стічних вод до систем централізованого водовідведення та Порядку визначення розміру плати, що справляється за понаднормативні скиди стічних вод до систем централізованого водовідведення, затверджених наказом Міністерства регіонального розвитку, будівництва та житлово-комунального господарства України від 01.12.2017 №316 та в інших законодавчих актах.</w:t>
      </w:r>
    </w:p>
    <w:p>
      <w:pPr>
        <w:pStyle w:val="Style22"/>
        <w:widowControl/>
        <w:spacing w:before="0" w:after="0"/>
        <w:ind w:left="0" w:right="0" w:firstLine="709"/>
        <w:jc w:val="both"/>
        <w:rPr>
          <w:color w:val="000000"/>
          <w:sz w:val="28"/>
          <w:szCs w:val="28"/>
        </w:rPr>
      </w:pPr>
      <w:bookmarkStart w:id="9" w:name="n47"/>
      <w:bookmarkEnd w:id="9"/>
      <w:r>
        <w:rPr>
          <w:color w:val="000000"/>
          <w:sz w:val="28"/>
          <w:szCs w:val="28"/>
        </w:rPr>
        <w:t>4. Ці правила розроблені на підставі Правил приймання стічних вод до систем централізованого водовідведення.</w:t>
      </w:r>
    </w:p>
    <w:p>
      <w:pPr>
        <w:pStyle w:val="Style22"/>
        <w:widowControl/>
        <w:spacing w:before="0" w:after="0"/>
        <w:ind w:left="0" w:right="0" w:firstLine="709"/>
        <w:jc w:val="both"/>
        <w:rPr/>
      </w:pPr>
      <w:r>
        <w:rPr>
          <w:rStyle w:val="Style14"/>
          <w:color w:val="000000"/>
          <w:sz w:val="28"/>
          <w:szCs w:val="28"/>
        </w:rPr>
        <w:t xml:space="preserve">5. Популяційний еквівалент міста Тернопіль становить </w:t>
      </w:r>
      <w:r>
        <w:rPr>
          <w:rStyle w:val="Style14"/>
          <w:color w:val="000000"/>
          <w:sz w:val="28"/>
          <w:szCs w:val="28"/>
        </w:rPr>
        <w:t>205000</w:t>
      </w:r>
      <w:r>
        <w:rPr>
          <w:rStyle w:val="Style14"/>
          <w:color w:val="000000"/>
          <w:sz w:val="28"/>
          <w:szCs w:val="28"/>
        </w:rPr>
        <w:t>.</w:t>
      </w:r>
    </w:p>
    <w:p>
      <w:pPr>
        <w:pStyle w:val="Style22"/>
        <w:widowControl/>
        <w:spacing w:before="0" w:after="0"/>
        <w:ind w:left="0" w:right="0" w:firstLine="709"/>
        <w:jc w:val="both"/>
        <w:rPr/>
      </w:pPr>
      <w:r>
        <w:rPr>
          <w:rStyle w:val="Style14"/>
          <w:color w:val="000000"/>
          <w:sz w:val="28"/>
          <w:szCs w:val="28"/>
        </w:rPr>
        <w:t>6. Виробники встановлюють кожному конкретному споживачу вимоги до скиду стічних вод до системи централізованого водовідведення на підставі вимог цих Правил, а також Правил приймання стічних вод до систем централізованого водовідведення. Такі вимоги встановлюються шляхом зазначення в договорі про водовідведення, а за наявності — в договорі про приймання понаднормативно забруднених стічних вод.</w:t>
      </w:r>
    </w:p>
    <w:p>
      <w:pPr>
        <w:pStyle w:val="Style22"/>
        <w:widowControl/>
        <w:spacing w:before="0" w:after="0"/>
        <w:ind w:left="0" w:right="0" w:firstLine="709"/>
        <w:jc w:val="both"/>
        <w:rPr>
          <w:color w:val="000000"/>
          <w:sz w:val="28"/>
          <w:szCs w:val="28"/>
        </w:rPr>
      </w:pPr>
      <w:r>
        <w:rPr>
          <w:color w:val="000000"/>
          <w:sz w:val="28"/>
          <w:szCs w:val="28"/>
        </w:rPr>
        <w:t>7. Виробник укладає зі споживачем договір за умови, що каналізаційна мережа та каналізаційні очисні споруди мають резерв пропускної спроможності. Виробник приймає стічні води споживача до системи централізованого водовідведення за умови, що показники якості стічних вод споживача відповідають встановленим вимогам.</w:t>
      </w:r>
    </w:p>
    <w:p>
      <w:pPr>
        <w:pStyle w:val="Style22"/>
        <w:widowControl/>
        <w:spacing w:before="0" w:after="0"/>
        <w:ind w:left="0" w:right="0" w:firstLine="709"/>
        <w:jc w:val="both"/>
        <w:rPr>
          <w:color w:val="000000"/>
          <w:sz w:val="28"/>
          <w:szCs w:val="28"/>
        </w:rPr>
      </w:pPr>
      <w:r>
        <w:rPr>
          <w:color w:val="000000"/>
          <w:sz w:val="28"/>
          <w:szCs w:val="28"/>
        </w:rPr>
        <w:t>8. Кожен споживач скидає стічні води до системи централізованого водовідведення через окремий випуск з обов’язковим облаштуванням контрольного колодязя, розташованого у місці, погодженому з виробником. Споживач, у якого відсутній окремий випуск з облаштуванням контрольного колодязя на момент набрання чинності цими Правилами, протягом двох місяців з дня набрання чинності цими Правилами отримують у виробника технічні умови на облаштування окремого випуску та протягом шести місяців облаштовують такий випуск.</w:t>
      </w:r>
    </w:p>
    <w:p>
      <w:pPr>
        <w:pStyle w:val="Style22"/>
        <w:widowControl/>
        <w:spacing w:before="0" w:after="0"/>
        <w:ind w:left="0" w:right="0" w:firstLine="709"/>
        <w:jc w:val="both"/>
        <w:rPr>
          <w:color w:val="000000"/>
          <w:sz w:val="28"/>
          <w:szCs w:val="28"/>
        </w:rPr>
      </w:pPr>
      <w:bookmarkStart w:id="10" w:name="n52"/>
      <w:bookmarkEnd w:id="10"/>
      <w:r>
        <w:rPr>
          <w:color w:val="000000"/>
          <w:sz w:val="28"/>
          <w:szCs w:val="28"/>
        </w:rPr>
        <w:t>Об’єднання випусків стічних вод від кількох споживачів може здійснюватися тільки після контрольного колодязя на каналізаційному випуску кожного споживача.</w:t>
      </w:r>
    </w:p>
    <w:p>
      <w:pPr>
        <w:pStyle w:val="Style22"/>
        <w:widowControl/>
        <w:spacing w:before="0" w:after="0"/>
        <w:ind w:left="0" w:right="0" w:firstLine="709"/>
        <w:jc w:val="both"/>
        <w:rPr>
          <w:color w:val="000000"/>
          <w:sz w:val="28"/>
          <w:szCs w:val="28"/>
        </w:rPr>
      </w:pPr>
      <w:bookmarkStart w:id="11" w:name="n53"/>
      <w:bookmarkEnd w:id="11"/>
      <w:r>
        <w:rPr>
          <w:color w:val="000000"/>
          <w:sz w:val="28"/>
          <w:szCs w:val="28"/>
        </w:rPr>
        <w:t>Скидання стічних вод субспоживачем із використанням каналізаційної мережі споживача не є об’єднанням випусків стічних вод кількох споживачів.</w:t>
      </w:r>
    </w:p>
    <w:p>
      <w:pPr>
        <w:pStyle w:val="Style22"/>
        <w:widowControl/>
        <w:spacing w:before="0" w:after="0"/>
        <w:ind w:left="0" w:right="0" w:firstLine="709"/>
        <w:jc w:val="both"/>
        <w:rPr>
          <w:color w:val="000000"/>
          <w:sz w:val="28"/>
          <w:szCs w:val="28"/>
        </w:rPr>
      </w:pPr>
      <w:r>
        <w:rPr>
          <w:color w:val="000000"/>
          <w:sz w:val="28"/>
          <w:szCs w:val="28"/>
        </w:rPr>
        <w:t>9. Приймання до системи централізованого водовідведення стічних вод, які вивозяться асенізаційним транспортом від споживачів, здійснюється тільки на приймальну камеру другої лінії каналізаційних очисних споруд.</w:t>
      </w:r>
    </w:p>
    <w:p>
      <w:pPr>
        <w:pStyle w:val="Style22"/>
        <w:widowControl/>
        <w:spacing w:before="0" w:after="0"/>
        <w:ind w:left="0" w:right="0" w:firstLine="709"/>
        <w:jc w:val="both"/>
        <w:rPr>
          <w:color w:val="000000"/>
          <w:sz w:val="28"/>
          <w:szCs w:val="28"/>
        </w:rPr>
      </w:pPr>
      <w:r>
        <w:rPr>
          <w:color w:val="000000"/>
          <w:sz w:val="28"/>
          <w:szCs w:val="28"/>
        </w:rPr>
        <w:t>10. Приєднання споживачів до систем централізованого водовідведення здійснюється з дотриманням вимог пунктів 4.1-4.6 розділу IV Правилах користування системами централізованого комунального водопостачання та водовідведення в населених пунктах України.</w:t>
      </w:r>
    </w:p>
    <w:p>
      <w:pPr>
        <w:pStyle w:val="Style22"/>
        <w:widowControl/>
        <w:spacing w:before="0" w:after="0"/>
        <w:ind w:left="0" w:right="0" w:firstLine="709"/>
        <w:jc w:val="both"/>
        <w:rPr>
          <w:color w:val="000000"/>
          <w:sz w:val="28"/>
          <w:szCs w:val="28"/>
        </w:rPr>
      </w:pPr>
      <w:bookmarkStart w:id="12" w:name="n56"/>
      <w:bookmarkEnd w:id="12"/>
      <w:r>
        <w:rPr>
          <w:color w:val="000000"/>
          <w:sz w:val="28"/>
          <w:szCs w:val="28"/>
        </w:rPr>
        <w:t>11. Приймання стічних вод споживачів до системи централізованого водовідведення або безпосередньо на каналізаційні очисні споруди здійснюється виключно за договорами.</w:t>
      </w:r>
    </w:p>
    <w:p>
      <w:pPr>
        <w:pStyle w:val="Style22"/>
        <w:widowControl/>
        <w:spacing w:before="0" w:after="0"/>
        <w:ind w:left="0" w:right="0" w:firstLine="709"/>
        <w:jc w:val="both"/>
        <w:rPr>
          <w:b/>
          <w:b/>
          <w:color w:val="000000"/>
          <w:sz w:val="28"/>
          <w:szCs w:val="28"/>
        </w:rPr>
      </w:pPr>
      <w:r>
        <w:rPr>
          <w:b/>
          <w:color w:val="000000"/>
          <w:sz w:val="28"/>
          <w:szCs w:val="28"/>
        </w:rPr>
      </w:r>
    </w:p>
    <w:p>
      <w:pPr>
        <w:pStyle w:val="Style22"/>
        <w:widowControl/>
        <w:spacing w:before="0" w:after="0"/>
        <w:ind w:left="0" w:right="0" w:firstLine="709"/>
        <w:jc w:val="center"/>
        <w:rPr>
          <w:b/>
          <w:b/>
          <w:color w:val="000000"/>
          <w:sz w:val="28"/>
          <w:szCs w:val="28"/>
        </w:rPr>
      </w:pPr>
      <w:bookmarkStart w:id="13" w:name="n57"/>
      <w:bookmarkEnd w:id="13"/>
      <w:r>
        <w:rPr>
          <w:b/>
          <w:color w:val="000000"/>
          <w:sz w:val="28"/>
          <w:szCs w:val="28"/>
        </w:rPr>
        <w:t>ІІ. Засади безперебійного функціонування систем централізованого водовідведення під час приймання до них стічних вод споживачів</w:t>
      </w:r>
    </w:p>
    <w:p>
      <w:pPr>
        <w:pStyle w:val="Style22"/>
        <w:widowControl/>
        <w:spacing w:before="0" w:after="0"/>
        <w:ind w:left="0" w:right="0" w:firstLine="709"/>
        <w:jc w:val="both"/>
        <w:rPr>
          <w:color w:val="000000"/>
          <w:sz w:val="28"/>
          <w:szCs w:val="28"/>
        </w:rPr>
      </w:pPr>
      <w:r>
        <w:rPr>
          <w:color w:val="000000"/>
          <w:sz w:val="28"/>
          <w:szCs w:val="28"/>
        </w:rPr>
        <w:t>12. Виробник повинен:</w:t>
      </w:r>
    </w:p>
    <w:p>
      <w:pPr>
        <w:pStyle w:val="Style22"/>
        <w:widowControl/>
        <w:spacing w:before="0" w:after="0"/>
        <w:ind w:left="0" w:right="0" w:firstLine="709"/>
        <w:jc w:val="both"/>
        <w:rPr>
          <w:color w:val="000000"/>
          <w:sz w:val="28"/>
          <w:szCs w:val="28"/>
        </w:rPr>
      </w:pPr>
      <w:bookmarkStart w:id="14" w:name="n59"/>
      <w:bookmarkEnd w:id="14"/>
      <w:r>
        <w:rPr>
          <w:color w:val="000000"/>
          <w:sz w:val="28"/>
          <w:szCs w:val="28"/>
        </w:rPr>
        <w:t>1) забезпечувати приймання, відведення і очищення стічних вод у межах розрахункових проектних показників системи централізованого водовідведення та каналізаційних очисних споруд із дотриманням вимог Правил охорони поверхневих вод від забруднення зворотними водами, затверджених постановою Кабінету Міністрів України від 25.03.1999 №465;</w:t>
      </w:r>
    </w:p>
    <w:p>
      <w:pPr>
        <w:pStyle w:val="Style22"/>
        <w:widowControl/>
        <w:spacing w:before="0" w:after="0"/>
        <w:ind w:left="0" w:right="0" w:firstLine="709"/>
        <w:jc w:val="both"/>
        <w:rPr>
          <w:color w:val="000000"/>
          <w:sz w:val="28"/>
          <w:szCs w:val="28"/>
        </w:rPr>
      </w:pPr>
      <w:bookmarkStart w:id="15" w:name="n60"/>
      <w:bookmarkEnd w:id="15"/>
      <w:r>
        <w:rPr>
          <w:color w:val="000000"/>
          <w:sz w:val="28"/>
          <w:szCs w:val="28"/>
        </w:rPr>
        <w:t>2) щорічно здійснювати обстеження локальних очисних споруд і каналізаційної мережі споживачів, вимагати від споживачів надання інформації та документів щодо зазначених мереж і споруд, які перебувають на балансі споживачів, їх технічного стану, в тому числі документів, що підтверджують проведення відновлення пропускної здатності трубопроводів та колекторів, хімічних реагентів, що використовуються споживачами та спричиняють забруднення у стічних водах (сертифікати, переліки, проекти), вивозу та утилізації осадів стічних вод, вжиття заходів з метою дотримання якості та режиму скидання стічних вод згідно з вимогами цих Правил, в яких може вимагатися надання інших відомостей та документації, яка не носить дозвільного характеру та стосується скидання стічних вод на об’єктах споживачів;</w:t>
      </w:r>
    </w:p>
    <w:p>
      <w:pPr>
        <w:pStyle w:val="Style22"/>
        <w:widowControl/>
        <w:spacing w:before="0" w:after="0"/>
        <w:ind w:left="0" w:right="0" w:firstLine="709"/>
        <w:jc w:val="both"/>
        <w:rPr>
          <w:color w:val="000000"/>
          <w:sz w:val="28"/>
          <w:szCs w:val="28"/>
        </w:rPr>
      </w:pPr>
      <w:r>
        <w:rPr>
          <w:color w:val="000000"/>
          <w:sz w:val="28"/>
          <w:szCs w:val="28"/>
        </w:rPr>
        <w:t>3) контролювати якість, кількість і режим скидання стічних вод споживачами;</w:t>
      </w:r>
    </w:p>
    <w:p>
      <w:pPr>
        <w:pStyle w:val="Style22"/>
        <w:widowControl/>
        <w:spacing w:before="0" w:after="0"/>
        <w:ind w:left="0" w:right="0" w:firstLine="709"/>
        <w:jc w:val="both"/>
        <w:rPr>
          <w:color w:val="000000"/>
          <w:sz w:val="28"/>
          <w:szCs w:val="28"/>
        </w:rPr>
      </w:pPr>
      <w:bookmarkStart w:id="16" w:name="n62"/>
      <w:bookmarkEnd w:id="16"/>
      <w:r>
        <w:rPr>
          <w:color w:val="000000"/>
          <w:sz w:val="28"/>
          <w:szCs w:val="28"/>
        </w:rPr>
        <w:t>4) вибірково контролювати ефективність роботи локальних очисних споруд та вимагати їх налагодження або реконструкції для дотримання вимог цих Правил;</w:t>
      </w:r>
    </w:p>
    <w:p>
      <w:pPr>
        <w:pStyle w:val="Style22"/>
        <w:widowControl/>
        <w:spacing w:before="0" w:after="0"/>
        <w:ind w:left="0" w:right="0" w:firstLine="709"/>
        <w:jc w:val="both"/>
        <w:rPr>
          <w:color w:val="000000"/>
          <w:sz w:val="28"/>
          <w:szCs w:val="28"/>
        </w:rPr>
      </w:pPr>
      <w:bookmarkStart w:id="17" w:name="n63"/>
      <w:bookmarkEnd w:id="17"/>
      <w:r>
        <w:rPr>
          <w:color w:val="000000"/>
          <w:sz w:val="28"/>
          <w:szCs w:val="28"/>
        </w:rPr>
        <w:t>5) здійснювати раптовий (не погоджений зі споживачами заздалегідь) відбір контрольних проб;</w:t>
      </w:r>
    </w:p>
    <w:p>
      <w:pPr>
        <w:pStyle w:val="Style22"/>
        <w:widowControl/>
        <w:spacing w:before="0" w:after="0"/>
        <w:ind w:left="0" w:right="0" w:firstLine="709"/>
        <w:jc w:val="both"/>
        <w:rPr>
          <w:color w:val="000000"/>
          <w:sz w:val="28"/>
          <w:szCs w:val="28"/>
        </w:rPr>
      </w:pPr>
      <w:bookmarkStart w:id="18" w:name="n64"/>
      <w:bookmarkEnd w:id="18"/>
      <w:r>
        <w:rPr>
          <w:color w:val="000000"/>
          <w:sz w:val="28"/>
          <w:szCs w:val="28"/>
        </w:rPr>
        <w:t>6) відключати споживачів від системи водовідведення негайно після усного попередження у разі загрози виходу з ладу систем централізованого водовідведення, порушення технологічного режиму роботи каналізаційних очисних споруд та у разі самовільного приєднання споживачем до систем централізованого водовідведення та/або самовільного скидання стічних вод до систем централізованого водовідведення виробника. При цьому за збитки таких споживачів виробник відповідальності не несе, а споживач відшкодовує виробнику завдані йому збитки. Підключення до систем водовідведення здійснюється після усунення обставин, що спричинили відключення;</w:t>
      </w:r>
    </w:p>
    <w:p>
      <w:pPr>
        <w:pStyle w:val="Style22"/>
        <w:widowControl/>
        <w:spacing w:before="0" w:after="0"/>
        <w:ind w:left="0" w:right="0" w:firstLine="709"/>
        <w:jc w:val="both"/>
        <w:rPr>
          <w:color w:val="000000"/>
          <w:sz w:val="28"/>
          <w:szCs w:val="28"/>
        </w:rPr>
      </w:pPr>
      <w:bookmarkStart w:id="19" w:name="n65"/>
      <w:bookmarkEnd w:id="19"/>
      <w:r>
        <w:rPr>
          <w:color w:val="000000"/>
          <w:sz w:val="28"/>
          <w:szCs w:val="28"/>
        </w:rPr>
        <w:t>7) у разі виявлення порушень споживачами умов скидання стічних вод, вимог цих Правил та умов укладеного з виробником договору, вимагати їх усунення в установлені виробником строки та вживати заходів впливу, передбачених договором та законодавством;</w:t>
      </w:r>
    </w:p>
    <w:p>
      <w:pPr>
        <w:pStyle w:val="Style22"/>
        <w:widowControl/>
        <w:spacing w:before="0" w:after="0"/>
        <w:ind w:left="0" w:right="0" w:firstLine="709"/>
        <w:jc w:val="both"/>
        <w:rPr>
          <w:color w:val="000000"/>
          <w:sz w:val="28"/>
          <w:szCs w:val="28"/>
        </w:rPr>
      </w:pPr>
      <w:bookmarkStart w:id="20" w:name="n66"/>
      <w:bookmarkEnd w:id="20"/>
      <w:r>
        <w:rPr>
          <w:color w:val="000000"/>
          <w:sz w:val="28"/>
          <w:szCs w:val="28"/>
        </w:rPr>
        <w:t>8) вимагати від споживачів, об’єкти яких розташовані в житлових будинках та мають стічні води технологічного або непобутового походження, забезпечення водовідведення стічних вод об’єкта окремо облаштованим каналізаційним випуском з облаштуванням контрольного колодязя.</w:t>
      </w:r>
    </w:p>
    <w:p>
      <w:pPr>
        <w:pStyle w:val="Style22"/>
        <w:widowControl/>
        <w:spacing w:before="0" w:after="0"/>
        <w:ind w:left="0" w:right="0" w:firstLine="709"/>
        <w:jc w:val="both"/>
        <w:rPr>
          <w:color w:val="000000"/>
          <w:sz w:val="28"/>
          <w:szCs w:val="28"/>
        </w:rPr>
      </w:pPr>
      <w:r>
        <w:rPr>
          <w:color w:val="000000"/>
          <w:sz w:val="28"/>
          <w:szCs w:val="28"/>
        </w:rPr>
        <w:t>13. Споживачі повинні:</w:t>
      </w:r>
    </w:p>
    <w:p>
      <w:pPr>
        <w:pStyle w:val="Style22"/>
        <w:widowControl/>
        <w:spacing w:before="0" w:after="0"/>
        <w:ind w:left="0" w:right="0" w:firstLine="709"/>
        <w:jc w:val="both"/>
        <w:rPr>
          <w:color w:val="000000"/>
          <w:sz w:val="28"/>
          <w:szCs w:val="28"/>
        </w:rPr>
      </w:pPr>
      <w:bookmarkStart w:id="21" w:name="n68"/>
      <w:bookmarkEnd w:id="21"/>
      <w:r>
        <w:rPr>
          <w:color w:val="000000"/>
          <w:sz w:val="28"/>
          <w:szCs w:val="28"/>
        </w:rPr>
        <w:t>1) дотримуватися вимог до скиду стічних вод та установлених кількісних та якісних показників стічних вод на каналізаційних випусках споживачів, вимагати від субспоживачів виконання положень цих Правил;</w:t>
      </w:r>
    </w:p>
    <w:p>
      <w:pPr>
        <w:pStyle w:val="Style22"/>
        <w:widowControl/>
        <w:spacing w:before="0" w:after="0"/>
        <w:ind w:left="0" w:right="0" w:firstLine="709"/>
        <w:jc w:val="both"/>
        <w:rPr>
          <w:color w:val="000000"/>
          <w:sz w:val="28"/>
          <w:szCs w:val="28"/>
        </w:rPr>
      </w:pPr>
      <w:bookmarkStart w:id="22" w:name="n69"/>
      <w:bookmarkEnd w:id="22"/>
      <w:r>
        <w:rPr>
          <w:color w:val="000000"/>
          <w:sz w:val="28"/>
          <w:szCs w:val="28"/>
        </w:rPr>
        <w:t>2) здійснювати систематичний контроль за кількістю та якістю стічних вод, які скидаються ними до систем централізованого водовідведення, згідно з графіком відбору проб, погодженим із виробником, надавати виробнику інформацію про обсяги та якісний склад стічних вод, які скидають до систем централізованого водовідведення;</w:t>
      </w:r>
    </w:p>
    <w:p>
      <w:pPr>
        <w:pStyle w:val="Style22"/>
        <w:widowControl/>
        <w:spacing w:before="0" w:after="0"/>
        <w:ind w:left="0" w:right="0" w:firstLine="709"/>
        <w:jc w:val="both"/>
        <w:rPr>
          <w:color w:val="000000"/>
          <w:sz w:val="28"/>
          <w:szCs w:val="28"/>
        </w:rPr>
      </w:pPr>
      <w:bookmarkStart w:id="23" w:name="n70"/>
      <w:bookmarkEnd w:id="23"/>
      <w:r>
        <w:rPr>
          <w:color w:val="000000"/>
          <w:sz w:val="28"/>
          <w:szCs w:val="28"/>
        </w:rPr>
        <w:t>3) виконувати на вимогу виробника до визначеного ним строку попереднє очищення забруднених стічних вод на локальних очисних спорудах з обов’язковою утилізацією або вивезенням утворених при цьому осадів, якщо стічні води споживачів не відповідають вимогам цих Правил та умовам укладеного з виробником договору;</w:t>
      </w:r>
    </w:p>
    <w:p>
      <w:pPr>
        <w:pStyle w:val="Style22"/>
        <w:widowControl/>
        <w:spacing w:before="0" w:after="0"/>
        <w:ind w:left="0" w:right="0" w:firstLine="709"/>
        <w:jc w:val="both"/>
        <w:rPr>
          <w:color w:val="000000"/>
          <w:sz w:val="28"/>
          <w:szCs w:val="28"/>
        </w:rPr>
      </w:pPr>
      <w:bookmarkStart w:id="24" w:name="n71"/>
      <w:bookmarkEnd w:id="24"/>
      <w:r>
        <w:rPr>
          <w:color w:val="000000"/>
          <w:sz w:val="28"/>
          <w:szCs w:val="28"/>
        </w:rPr>
        <w:t>4) у разі зміни у своєму водовідведенні (передача будівель та каналізаційних мереж іншим власникам/користувачам, зміна технологічних процесів або зміна на 30% і більше попередніх обсягів водовідведення, виконання будівельних робіт на території об’єкта (у разі якщо воно впливає чи може вплинути на виконання споживачем вимог до скиду, виданих виробником), приєднання субспоживача тощо) повідомляти виробника у семиденний строк про виникнення таких змін, в установленому порядку отримувати у виробника технічні умови на водопостачання і водовідведення об’єкта та вносити відповідні зміни до договору;</w:t>
      </w:r>
    </w:p>
    <w:p>
      <w:pPr>
        <w:pStyle w:val="Style22"/>
        <w:widowControl/>
        <w:spacing w:before="0" w:after="0"/>
        <w:ind w:left="0" w:right="0" w:firstLine="709"/>
        <w:jc w:val="both"/>
        <w:rPr>
          <w:color w:val="000000"/>
          <w:sz w:val="28"/>
          <w:szCs w:val="28"/>
        </w:rPr>
      </w:pPr>
      <w:bookmarkStart w:id="25" w:name="n72"/>
      <w:bookmarkEnd w:id="25"/>
      <w:r>
        <w:rPr>
          <w:color w:val="000000"/>
          <w:sz w:val="28"/>
          <w:szCs w:val="28"/>
        </w:rPr>
        <w:t>5) укладати новий договір з виробником у разі зміни власника об’єкта;</w:t>
      </w:r>
    </w:p>
    <w:p>
      <w:pPr>
        <w:pStyle w:val="Style22"/>
        <w:widowControl/>
        <w:spacing w:before="0" w:after="0"/>
        <w:ind w:left="0" w:right="0" w:firstLine="709"/>
        <w:jc w:val="both"/>
        <w:rPr>
          <w:color w:val="000000"/>
          <w:sz w:val="28"/>
          <w:szCs w:val="28"/>
        </w:rPr>
      </w:pPr>
      <w:bookmarkStart w:id="26" w:name="n73"/>
      <w:bookmarkEnd w:id="26"/>
      <w:r>
        <w:rPr>
          <w:color w:val="000000"/>
          <w:sz w:val="28"/>
          <w:szCs w:val="28"/>
        </w:rPr>
        <w:t>6) надавати працівникам виробника необхідну інформацію щодо своєї системи водовідведення та вільний доступ до неї, а також допомогу під час відбору проб стічних вод споживачів (в тому числі забезпечувати доступ до каналізаційних випусків), вивчення режиму їх скиду, обстеження системи водовідведення та локальних очисних споруд;</w:t>
      </w:r>
    </w:p>
    <w:p>
      <w:pPr>
        <w:pStyle w:val="Style22"/>
        <w:widowControl/>
        <w:spacing w:before="0" w:after="0"/>
        <w:ind w:left="0" w:right="0" w:firstLine="709"/>
        <w:jc w:val="both"/>
        <w:rPr>
          <w:color w:val="000000"/>
          <w:sz w:val="28"/>
          <w:szCs w:val="28"/>
        </w:rPr>
      </w:pPr>
      <w:bookmarkStart w:id="27" w:name="n74"/>
      <w:bookmarkEnd w:id="27"/>
      <w:r>
        <w:rPr>
          <w:color w:val="000000"/>
          <w:sz w:val="28"/>
          <w:szCs w:val="28"/>
        </w:rPr>
        <w:t>7) визначати не менше двох представників, уповноважених представляти споживача під час відбору проб стічних вод, про що у триденний строк повідомляють виробника у письмовій формі. Споживачі забезпечують присутність уповноваженого представника безпосередньо під час відбору проб стічних вод виробником;</w:t>
      </w:r>
    </w:p>
    <w:p>
      <w:pPr>
        <w:pStyle w:val="Style22"/>
        <w:widowControl/>
        <w:spacing w:before="0" w:after="0"/>
        <w:ind w:left="0" w:right="0" w:firstLine="709"/>
        <w:jc w:val="both"/>
        <w:rPr>
          <w:color w:val="000000"/>
          <w:sz w:val="28"/>
          <w:szCs w:val="28"/>
        </w:rPr>
      </w:pPr>
      <w:bookmarkStart w:id="28" w:name="n75"/>
      <w:bookmarkEnd w:id="28"/>
      <w:r>
        <w:rPr>
          <w:color w:val="000000"/>
          <w:sz w:val="28"/>
          <w:szCs w:val="28"/>
        </w:rPr>
        <w:t>8) брати участь у ліквідації аварій і заміні аварійних каналізаційних мереж власними силами та засобами, а також у відшкодуванні капітальних витрат на відновлення системи централізованого водовідведення виробника у разі погіршення її технічного стану та аварійних руйнувань з вини споживача;</w:t>
      </w:r>
    </w:p>
    <w:p>
      <w:pPr>
        <w:pStyle w:val="Style22"/>
        <w:widowControl/>
        <w:spacing w:before="0" w:after="0"/>
        <w:ind w:left="0" w:right="0" w:firstLine="709"/>
        <w:jc w:val="both"/>
        <w:rPr>
          <w:color w:val="000000"/>
          <w:sz w:val="28"/>
          <w:szCs w:val="28"/>
        </w:rPr>
      </w:pPr>
      <w:bookmarkStart w:id="29" w:name="n76"/>
      <w:bookmarkEnd w:id="29"/>
      <w:r>
        <w:rPr>
          <w:color w:val="000000"/>
          <w:sz w:val="28"/>
          <w:szCs w:val="28"/>
        </w:rPr>
        <w:t>9) перевіряти розрахунки ДК забруднюючих речовин стічних вод, які скидаються ними до систем централізованого водовідведення, виконані виробником, у разі незгоди звертатися щодо їх перегляду.</w:t>
      </w:r>
    </w:p>
    <w:p>
      <w:pPr>
        <w:pStyle w:val="Style22"/>
        <w:widowControl/>
        <w:spacing w:before="0" w:after="0"/>
        <w:ind w:left="0" w:right="0" w:firstLine="709"/>
        <w:jc w:val="both"/>
        <w:rPr>
          <w:b/>
          <w:b/>
          <w:color w:val="000000"/>
          <w:sz w:val="28"/>
          <w:szCs w:val="28"/>
        </w:rPr>
      </w:pPr>
      <w:r>
        <w:rPr>
          <w:b/>
          <w:color w:val="000000"/>
          <w:sz w:val="28"/>
          <w:szCs w:val="28"/>
        </w:rPr>
      </w:r>
    </w:p>
    <w:p>
      <w:pPr>
        <w:pStyle w:val="Style22"/>
        <w:widowControl/>
        <w:spacing w:before="0" w:after="0"/>
        <w:ind w:left="0" w:right="0" w:firstLine="709"/>
        <w:jc w:val="center"/>
        <w:rPr>
          <w:b/>
          <w:b/>
          <w:color w:val="000000"/>
          <w:sz w:val="28"/>
          <w:szCs w:val="28"/>
        </w:rPr>
      </w:pPr>
      <w:bookmarkStart w:id="30" w:name="n77"/>
      <w:bookmarkEnd w:id="30"/>
      <w:r>
        <w:rPr>
          <w:b/>
          <w:color w:val="000000"/>
          <w:sz w:val="28"/>
          <w:szCs w:val="28"/>
        </w:rPr>
        <w:t>ІІІ. Загальні вимоги до складу та властивостей стічних вод, які скидаються до систем централізованого водовідведення</w:t>
      </w:r>
    </w:p>
    <w:p>
      <w:pPr>
        <w:pStyle w:val="Style22"/>
        <w:widowControl/>
        <w:spacing w:before="0" w:after="0"/>
        <w:ind w:left="0" w:right="0" w:firstLine="709"/>
        <w:jc w:val="both"/>
        <w:rPr>
          <w:color w:val="000000"/>
          <w:sz w:val="28"/>
          <w:szCs w:val="28"/>
        </w:rPr>
      </w:pPr>
      <w:bookmarkStart w:id="31" w:name="n78"/>
      <w:bookmarkEnd w:id="31"/>
      <w:r>
        <w:rPr>
          <w:color w:val="000000"/>
          <w:sz w:val="28"/>
          <w:szCs w:val="28"/>
        </w:rPr>
        <w:t>14. До систем централізованого водовідведення приймаються стічні води споживачів, які не призводять до порушення роботи каналізаційних мереж та очисних споруд, безпеки їх експлуатації та можуть бути очищені на каналізаційних очисних спорудах виробників відповідно до вимог Правил охорони поверхневих вод від забруднення зворотними водами, затверджених постановою Кабінету Міністрів України від 25.03.1999 №465.</w:t>
      </w:r>
    </w:p>
    <w:p>
      <w:pPr>
        <w:pStyle w:val="Style22"/>
        <w:widowControl/>
        <w:spacing w:before="0" w:after="0"/>
        <w:ind w:left="0" w:right="0" w:firstLine="709"/>
        <w:jc w:val="both"/>
        <w:rPr>
          <w:color w:val="000000"/>
          <w:sz w:val="28"/>
          <w:szCs w:val="28"/>
        </w:rPr>
      </w:pPr>
      <w:r>
        <w:rPr>
          <w:color w:val="000000"/>
          <w:sz w:val="28"/>
          <w:szCs w:val="28"/>
        </w:rPr>
        <w:t>15. Стічні води, що приймають до систем централізованого водовідведення, не повинні:</w:t>
      </w:r>
    </w:p>
    <w:p>
      <w:pPr>
        <w:pStyle w:val="Style22"/>
        <w:widowControl/>
        <w:spacing w:before="0" w:after="0"/>
        <w:ind w:left="0" w:right="0" w:firstLine="709"/>
        <w:jc w:val="both"/>
        <w:rPr>
          <w:color w:val="000000"/>
          <w:sz w:val="28"/>
          <w:szCs w:val="28"/>
        </w:rPr>
      </w:pPr>
      <w:bookmarkStart w:id="32" w:name="n80"/>
      <w:bookmarkEnd w:id="32"/>
      <w:r>
        <w:rPr>
          <w:color w:val="000000"/>
          <w:sz w:val="28"/>
          <w:szCs w:val="28"/>
        </w:rPr>
        <w:t>1) містити горючих домішок і розчинених газоподібних речовин, здатних утворювати вибухонебезпечні суміші;</w:t>
      </w:r>
    </w:p>
    <w:p>
      <w:pPr>
        <w:pStyle w:val="Style22"/>
        <w:widowControl/>
        <w:spacing w:before="0" w:after="0"/>
        <w:ind w:left="0" w:right="0" w:firstLine="709"/>
        <w:jc w:val="both"/>
        <w:rPr>
          <w:color w:val="000000"/>
          <w:sz w:val="28"/>
          <w:szCs w:val="28"/>
        </w:rPr>
      </w:pPr>
      <w:bookmarkStart w:id="33" w:name="n81"/>
      <w:bookmarkEnd w:id="33"/>
      <w:r>
        <w:rPr>
          <w:color w:val="000000"/>
          <w:sz w:val="28"/>
          <w:szCs w:val="28"/>
        </w:rPr>
        <w:t>2) містити речовин, які здатні захаращувати труби, колодязі, решітки або відкладатися на їх поверхнях (сміття, ґрунт, абразивні порошки та інші грубодисперсні зависі, гіпс, вапно, пісок, металева та пластмасова стружка, жири, смоли, мазут, пивна дробина, хлібні дріжджі тощо);</w:t>
      </w:r>
    </w:p>
    <w:p>
      <w:pPr>
        <w:pStyle w:val="Style22"/>
        <w:widowControl/>
        <w:spacing w:before="0" w:after="0"/>
        <w:ind w:left="0" w:right="0" w:firstLine="709"/>
        <w:jc w:val="both"/>
        <w:rPr>
          <w:color w:val="000000"/>
          <w:sz w:val="28"/>
          <w:szCs w:val="28"/>
        </w:rPr>
      </w:pPr>
      <w:bookmarkStart w:id="34" w:name="n82"/>
      <w:bookmarkEnd w:id="34"/>
      <w:r>
        <w:rPr>
          <w:color w:val="000000"/>
          <w:sz w:val="28"/>
          <w:szCs w:val="28"/>
        </w:rPr>
        <w:t>3) містити тільки неорганічних речовин або речовин, які не піддаються біологічній деструкції;</w:t>
      </w:r>
    </w:p>
    <w:p>
      <w:pPr>
        <w:pStyle w:val="Style22"/>
        <w:widowControl/>
        <w:spacing w:before="0" w:after="0"/>
        <w:ind w:left="0" w:right="0" w:firstLine="709"/>
        <w:jc w:val="both"/>
        <w:rPr>
          <w:color w:val="000000"/>
          <w:sz w:val="28"/>
          <w:szCs w:val="28"/>
        </w:rPr>
      </w:pPr>
      <w:bookmarkStart w:id="35" w:name="n83"/>
      <w:bookmarkEnd w:id="35"/>
      <w:r>
        <w:rPr>
          <w:color w:val="000000"/>
          <w:sz w:val="28"/>
          <w:szCs w:val="28"/>
        </w:rPr>
        <w:t>4) містити речовин, для яких не встановлено гранично допустимих концентрацій (далі - ГДК) для води водойм або токсичних речовин, що перешкоджають біологічному очищенню стічних вод, а також речовин, для визначення яких не розроблено методів аналітичного контролю;</w:t>
      </w:r>
    </w:p>
    <w:p>
      <w:pPr>
        <w:pStyle w:val="Style22"/>
        <w:widowControl/>
        <w:spacing w:before="0" w:after="0"/>
        <w:ind w:left="0" w:right="0" w:firstLine="709"/>
        <w:jc w:val="both"/>
        <w:rPr>
          <w:color w:val="000000"/>
          <w:sz w:val="28"/>
          <w:szCs w:val="28"/>
        </w:rPr>
      </w:pPr>
      <w:bookmarkStart w:id="36" w:name="n84"/>
      <w:bookmarkEnd w:id="36"/>
      <w:r>
        <w:rPr>
          <w:color w:val="000000"/>
          <w:sz w:val="28"/>
          <w:szCs w:val="28"/>
        </w:rPr>
        <w:t>5) містити небезпечних бактеріальних, вірусних, токсичних та радіоактивних забруднень;</w:t>
      </w:r>
    </w:p>
    <w:p>
      <w:pPr>
        <w:pStyle w:val="Style22"/>
        <w:widowControl/>
        <w:spacing w:before="0" w:after="0"/>
        <w:ind w:left="0" w:right="0" w:firstLine="709"/>
        <w:jc w:val="both"/>
        <w:rPr>
          <w:color w:val="000000"/>
          <w:sz w:val="28"/>
          <w:szCs w:val="28"/>
        </w:rPr>
      </w:pPr>
      <w:bookmarkStart w:id="37" w:name="n85"/>
      <w:bookmarkEnd w:id="37"/>
      <w:r>
        <w:rPr>
          <w:color w:val="000000"/>
          <w:sz w:val="28"/>
          <w:szCs w:val="28"/>
        </w:rPr>
        <w:t>6) містити біологічно жорстких синтетичних поверхнево-активних речовин (далі — СПАР), рівень первинного біологічного розкладу яких становить менше 80%;</w:t>
      </w:r>
    </w:p>
    <w:p>
      <w:pPr>
        <w:pStyle w:val="Style22"/>
        <w:widowControl/>
        <w:spacing w:before="0" w:after="0"/>
        <w:ind w:left="0" w:right="0" w:firstLine="709"/>
        <w:jc w:val="both"/>
        <w:rPr>
          <w:color w:val="000000"/>
          <w:sz w:val="28"/>
          <w:szCs w:val="28"/>
        </w:rPr>
      </w:pPr>
      <w:bookmarkStart w:id="38" w:name="n86"/>
      <w:bookmarkEnd w:id="38"/>
      <w:r>
        <w:rPr>
          <w:color w:val="000000"/>
          <w:sz w:val="28"/>
          <w:szCs w:val="28"/>
        </w:rPr>
        <w:t>7) мати температуру вище 40ºС ;</w:t>
      </w:r>
    </w:p>
    <w:p>
      <w:pPr>
        <w:pStyle w:val="Style22"/>
        <w:widowControl/>
        <w:spacing w:before="0" w:after="0"/>
        <w:ind w:left="0" w:right="0" w:firstLine="709"/>
        <w:jc w:val="both"/>
        <w:rPr>
          <w:color w:val="000000"/>
          <w:sz w:val="28"/>
          <w:szCs w:val="28"/>
        </w:rPr>
      </w:pPr>
      <w:bookmarkStart w:id="39" w:name="n87"/>
      <w:bookmarkEnd w:id="39"/>
      <w:r>
        <w:rPr>
          <w:color w:val="000000"/>
          <w:sz w:val="28"/>
          <w:szCs w:val="28"/>
        </w:rPr>
        <w:t>8) мати pH нижче 6,5 або вище 9,0;</w:t>
      </w:r>
    </w:p>
    <w:p>
      <w:pPr>
        <w:pStyle w:val="Style22"/>
        <w:widowControl/>
        <w:spacing w:before="0" w:after="0"/>
        <w:ind w:left="0" w:right="0" w:firstLine="709"/>
        <w:jc w:val="both"/>
        <w:rPr/>
      </w:pPr>
      <w:bookmarkStart w:id="40" w:name="n88"/>
      <w:bookmarkEnd w:id="40"/>
      <w:r>
        <w:rPr>
          <w:rStyle w:val="Style14"/>
          <w:color w:val="000000"/>
          <w:sz w:val="28"/>
          <w:szCs w:val="28"/>
        </w:rPr>
        <w:t>9) мати хімічне споживання кисню (далі — ХСК) вище біохімічного споживання кисню за 5 діб (далі — БСК</w:t>
      </w:r>
      <w:r>
        <w:rPr>
          <w:rStyle w:val="Style14"/>
          <w:b w:val="false"/>
          <w:bCs w:val="false"/>
          <w:color w:val="000000"/>
          <w:sz w:val="28"/>
          <w:szCs w:val="28"/>
          <w:vertAlign w:val="subscript"/>
        </w:rPr>
        <w:t>5</w:t>
      </w:r>
      <w:r>
        <w:rPr>
          <w:rStyle w:val="Style14"/>
          <w:color w:val="000000"/>
          <w:sz w:val="28"/>
          <w:szCs w:val="28"/>
        </w:rPr>
        <w:t>) більше ніж у 2,5 раза;</w:t>
      </w:r>
    </w:p>
    <w:p>
      <w:pPr>
        <w:pStyle w:val="Style22"/>
        <w:widowControl/>
        <w:spacing w:before="0" w:after="0"/>
        <w:ind w:left="0" w:right="0" w:firstLine="709"/>
        <w:jc w:val="both"/>
        <w:rPr/>
      </w:pPr>
      <w:bookmarkStart w:id="41" w:name="n89"/>
      <w:bookmarkEnd w:id="41"/>
      <w:r>
        <w:rPr>
          <w:rStyle w:val="Style14"/>
          <w:color w:val="000000"/>
          <w:sz w:val="28"/>
          <w:szCs w:val="28"/>
        </w:rPr>
        <w:t>10) мати БСК, яке перевищує вказане в проекті каналізаційних очисних споруд, а саме 334 мг/дм</w:t>
      </w:r>
      <w:r>
        <w:rPr>
          <w:rStyle w:val="Style14"/>
          <w:color w:val="000000"/>
          <w:position w:val="28"/>
          <w:sz w:val="18"/>
          <w:sz w:val="28"/>
          <w:szCs w:val="28"/>
        </w:rPr>
        <w:t>3</w:t>
      </w:r>
      <w:r>
        <w:rPr>
          <w:rStyle w:val="Style14"/>
          <w:color w:val="000000"/>
          <w:sz w:val="28"/>
          <w:szCs w:val="28"/>
        </w:rPr>
        <w:t>;</w:t>
      </w:r>
    </w:p>
    <w:p>
      <w:pPr>
        <w:pStyle w:val="Style22"/>
        <w:widowControl/>
        <w:spacing w:before="0" w:after="0"/>
        <w:ind w:left="0" w:right="0" w:firstLine="709"/>
        <w:jc w:val="both"/>
        <w:rPr>
          <w:color w:val="000000"/>
          <w:sz w:val="28"/>
          <w:szCs w:val="28"/>
        </w:rPr>
      </w:pPr>
      <w:bookmarkStart w:id="42" w:name="n90"/>
      <w:bookmarkEnd w:id="42"/>
      <w:r>
        <w:rPr>
          <w:color w:val="000000"/>
          <w:sz w:val="28"/>
          <w:szCs w:val="28"/>
        </w:rPr>
        <w:t>11) створювати умови для заподіяння шкоди здоров'ю персоналу, що обслуговує системи централізованого водовідведення;</w:t>
      </w:r>
    </w:p>
    <w:p>
      <w:pPr>
        <w:pStyle w:val="Style22"/>
        <w:widowControl/>
        <w:spacing w:before="0" w:after="0"/>
        <w:ind w:left="0" w:right="0" w:firstLine="709"/>
        <w:jc w:val="both"/>
        <w:rPr>
          <w:color w:val="000000"/>
          <w:sz w:val="28"/>
          <w:szCs w:val="28"/>
        </w:rPr>
      </w:pPr>
      <w:bookmarkStart w:id="43" w:name="n91"/>
      <w:bookmarkEnd w:id="43"/>
      <w:r>
        <w:rPr>
          <w:color w:val="000000"/>
          <w:sz w:val="28"/>
          <w:szCs w:val="28"/>
        </w:rPr>
        <w:t>12) унеможливлювати утилізацію осадів стічних вод із застосуванням методів, безпечних для навколишнього природного середовища;</w:t>
      </w:r>
    </w:p>
    <w:p>
      <w:pPr>
        <w:pStyle w:val="Style22"/>
        <w:widowControl/>
        <w:spacing w:before="0" w:after="0"/>
        <w:ind w:left="0" w:right="0" w:firstLine="709"/>
        <w:jc w:val="both"/>
        <w:rPr>
          <w:color w:val="000000"/>
          <w:sz w:val="28"/>
          <w:szCs w:val="28"/>
        </w:rPr>
      </w:pPr>
      <w:bookmarkStart w:id="44" w:name="n92"/>
      <w:bookmarkEnd w:id="44"/>
      <w:r>
        <w:rPr>
          <w:color w:val="000000"/>
          <w:sz w:val="28"/>
          <w:szCs w:val="28"/>
        </w:rPr>
        <w:t>13) містити забруднюючих речовин з перевищенням встановлених допустимих концентрацій.</w:t>
      </w:r>
    </w:p>
    <w:p>
      <w:pPr>
        <w:pStyle w:val="Style22"/>
        <w:widowControl/>
        <w:spacing w:before="0" w:after="0"/>
        <w:ind w:left="0" w:right="0" w:firstLine="709"/>
        <w:jc w:val="both"/>
        <w:rPr>
          <w:color w:val="000000"/>
          <w:sz w:val="28"/>
          <w:szCs w:val="28"/>
        </w:rPr>
      </w:pPr>
      <w:r>
        <w:rPr>
          <w:color w:val="000000"/>
          <w:sz w:val="28"/>
          <w:szCs w:val="28"/>
        </w:rPr>
        <w:t>16. У разі якщо на об’єктах споживачів здійснюються виробничі процеси, передбачені переліком виробничих процесів, при здійсненні яких споживач повинен мати локальні очисні споруди для попереднього очищення стічних вод перед їх скиданням до системи централізованого водовідведення та очищення стічних вод згідно з додатком 1 до цих Правил, а також при систематичному скиді понаднормативних забруднень (більш, ніж у трьох місяцях протягом календарного року), скидання стічних вод до систем централізованого водовідведення без попереднього їх очищення на локальних очисних спорудах не допускається, крім випадку, визначеному у пункті 19 цих Правил.</w:t>
      </w:r>
    </w:p>
    <w:p>
      <w:pPr>
        <w:pStyle w:val="Style22"/>
        <w:widowControl/>
        <w:spacing w:before="0" w:after="0"/>
        <w:ind w:left="0" w:right="0" w:firstLine="709"/>
        <w:jc w:val="both"/>
        <w:rPr>
          <w:color w:val="000000"/>
          <w:sz w:val="28"/>
          <w:szCs w:val="28"/>
        </w:rPr>
      </w:pPr>
      <w:bookmarkStart w:id="45" w:name="n94"/>
      <w:bookmarkEnd w:id="45"/>
      <w:r>
        <w:rPr>
          <w:color w:val="000000"/>
          <w:sz w:val="28"/>
          <w:szCs w:val="28"/>
        </w:rPr>
        <w:t>Локальні очисні споруди споживача мають відповідати вимогам технічних умов, виданих виробником відповідно до Правил користування.</w:t>
      </w:r>
    </w:p>
    <w:p>
      <w:pPr>
        <w:pStyle w:val="Style22"/>
        <w:widowControl/>
        <w:spacing w:before="0" w:after="0"/>
        <w:ind w:left="0" w:right="0" w:firstLine="709"/>
        <w:jc w:val="both"/>
        <w:rPr>
          <w:color w:val="000000"/>
          <w:sz w:val="28"/>
          <w:szCs w:val="28"/>
        </w:rPr>
      </w:pPr>
      <w:r>
        <w:rPr>
          <w:color w:val="000000"/>
          <w:sz w:val="28"/>
          <w:szCs w:val="28"/>
        </w:rPr>
        <w:t>17. Забороняється скидати до системи централізованого водовідведення без попереднього знешкодження та знезараження на локальних очисних спорудах з обов’язковою утилізацією або захороненням утворених осадів стічні води, що містять забруднюючі речовини, визначені у переліку забруднюючих речовин, що заборонені до скидання до системи централізованого водовідведення згідно з додатком 2 до цих Правил.</w:t>
      </w:r>
    </w:p>
    <w:p>
      <w:pPr>
        <w:pStyle w:val="Style22"/>
        <w:widowControl/>
        <w:spacing w:before="0" w:after="0"/>
        <w:ind w:left="0" w:right="0" w:firstLine="709"/>
        <w:jc w:val="both"/>
        <w:rPr>
          <w:color w:val="000000"/>
          <w:sz w:val="28"/>
          <w:szCs w:val="28"/>
        </w:rPr>
      </w:pPr>
      <w:r>
        <w:rPr>
          <w:color w:val="000000"/>
          <w:sz w:val="28"/>
          <w:szCs w:val="28"/>
        </w:rPr>
        <w:t>18. Якщо кількісні та якісні показники стічних вод споживача значно змінюються протягом доби, а показники концентрації забруднюючих речовин перевищують ДК, споживач повинен встановлювати спеціальні ємності-усереднювачі та пристрої, які забезпечують рівномірний протягом доби скид стічних вод.</w:t>
      </w:r>
    </w:p>
    <w:p>
      <w:pPr>
        <w:pStyle w:val="Style22"/>
        <w:widowControl/>
        <w:spacing w:before="0" w:after="0"/>
        <w:ind w:left="0" w:right="0" w:firstLine="709"/>
        <w:jc w:val="both"/>
        <w:rPr>
          <w:color w:val="000000"/>
          <w:sz w:val="28"/>
          <w:szCs w:val="28"/>
        </w:rPr>
      </w:pPr>
      <w:r>
        <w:rPr>
          <w:color w:val="000000"/>
          <w:sz w:val="28"/>
          <w:szCs w:val="28"/>
        </w:rPr>
        <w:t>19. Коли споживач не може забезпечити виконання вимог цих Правил, у тому числі пункту 16 цих Правил, за деякими показниками, він звертається до виробника із заявою та обґрунтуванням приймання понаднормативно забруднених стічних вод із зазначенням їх концентрації та зобов’язується вжити заходів для доведення якості та режиму їх скиду до вимог цих Правил у строк, зазначений у договорі про приймання понаднормативно забруднених стічних вод.</w:t>
      </w:r>
    </w:p>
    <w:p>
      <w:pPr>
        <w:pStyle w:val="Style22"/>
        <w:widowControl/>
        <w:spacing w:before="0" w:after="0"/>
        <w:ind w:left="0" w:right="0" w:firstLine="709"/>
        <w:jc w:val="both"/>
        <w:rPr>
          <w:color w:val="000000"/>
          <w:sz w:val="28"/>
          <w:szCs w:val="28"/>
        </w:rPr>
      </w:pPr>
      <w:bookmarkStart w:id="46" w:name="n98"/>
      <w:bookmarkEnd w:id="46"/>
      <w:r>
        <w:rPr>
          <w:color w:val="000000"/>
          <w:sz w:val="28"/>
          <w:szCs w:val="28"/>
        </w:rPr>
        <w:t>Виробник розглядає подану заяву у п’ятнадцятиденний строк і укладає зі споживачем окремий договір про приймання понаднормативно забруднених стічних вод у разі здатності існуючої на каналізаційних очисних спорудах виробника технології очищення стічних вод видалити означені забруднення відповідно до вимог ГДС, встановлених для виробника.</w:t>
      </w:r>
    </w:p>
    <w:p>
      <w:pPr>
        <w:pStyle w:val="Style22"/>
        <w:widowControl/>
        <w:spacing w:before="0" w:after="0"/>
        <w:ind w:left="0" w:right="0" w:firstLine="709"/>
        <w:jc w:val="both"/>
        <w:rPr>
          <w:color w:val="000000"/>
          <w:sz w:val="28"/>
          <w:szCs w:val="28"/>
        </w:rPr>
      </w:pPr>
      <w:bookmarkStart w:id="47" w:name="n99"/>
      <w:bookmarkEnd w:id="47"/>
      <w:r>
        <w:rPr>
          <w:color w:val="000000"/>
          <w:sz w:val="28"/>
          <w:szCs w:val="28"/>
        </w:rPr>
        <w:t>У договорі про приймання понаднормативно забруднених стічних вод визначають тимчасово погоджені концентрації забруднюючих речовин, розмір додаткової оплати за приймання понаднормативно забруднених стоків, який повинен бути в межах 60-80% від оплати, що встановлюється відповідно до розділу ІІ Порядку визначення розміру плати, що справляється за понаднормативні скиди стічних вод до систем централізованого водовідведення, затвердженого наказом Міністерства регіонального розвитку, будівництва та житлово-комунального господарства України від 01.12.2017 №316, перелік та строк виконання заходів для доведення якості та режиму їх скиду згідно з вимогами цих Правил, який має бути обґрунтованим та не може перевищувати трьох років.</w:t>
      </w:r>
    </w:p>
    <w:p>
      <w:pPr>
        <w:pStyle w:val="Style22"/>
        <w:widowControl/>
        <w:spacing w:before="0" w:after="0"/>
        <w:ind w:left="0" w:right="0" w:firstLine="709"/>
        <w:jc w:val="both"/>
        <w:rPr>
          <w:color w:val="000000"/>
          <w:sz w:val="28"/>
          <w:szCs w:val="28"/>
        </w:rPr>
      </w:pPr>
      <w:r>
        <w:rPr>
          <w:color w:val="000000"/>
          <w:sz w:val="28"/>
          <w:szCs w:val="28"/>
        </w:rPr>
        <w:t>Плата за приймання понаднормативно забруднених стоків визначається в розмірі:</w:t>
      </w:r>
    </w:p>
    <w:p>
      <w:pPr>
        <w:pStyle w:val="Style22"/>
        <w:widowControl/>
        <w:spacing w:before="0" w:after="0"/>
        <w:ind w:left="0" w:right="0" w:firstLine="709"/>
        <w:jc w:val="both"/>
        <w:rPr>
          <w:color w:val="000000"/>
          <w:sz w:val="28"/>
          <w:szCs w:val="28"/>
        </w:rPr>
      </w:pPr>
      <w:r>
        <w:rPr>
          <w:color w:val="000000"/>
          <w:sz w:val="28"/>
          <w:szCs w:val="28"/>
        </w:rPr>
        <w:t>- 60% - на перший рік приймання стічних вод за тимчасовим договором;</w:t>
      </w:r>
    </w:p>
    <w:p>
      <w:pPr>
        <w:pStyle w:val="Style22"/>
        <w:widowControl/>
        <w:spacing w:before="0" w:after="0"/>
        <w:ind w:left="0" w:right="0" w:firstLine="709"/>
        <w:jc w:val="both"/>
        <w:rPr>
          <w:color w:val="000000"/>
          <w:sz w:val="28"/>
          <w:szCs w:val="28"/>
        </w:rPr>
      </w:pPr>
      <w:r>
        <w:rPr>
          <w:color w:val="000000"/>
          <w:sz w:val="28"/>
          <w:szCs w:val="28"/>
        </w:rPr>
        <w:t>- 70% - на другий рік приймання стічних вод за тимчасовим договором;</w:t>
      </w:r>
    </w:p>
    <w:p>
      <w:pPr>
        <w:pStyle w:val="Style22"/>
        <w:widowControl/>
        <w:spacing w:before="0" w:after="0"/>
        <w:ind w:left="0" w:right="0" w:firstLine="709"/>
        <w:jc w:val="both"/>
        <w:rPr>
          <w:color w:val="000000"/>
          <w:sz w:val="28"/>
          <w:szCs w:val="28"/>
        </w:rPr>
      </w:pPr>
      <w:r>
        <w:rPr>
          <w:color w:val="000000"/>
          <w:sz w:val="28"/>
          <w:szCs w:val="28"/>
        </w:rPr>
        <w:t>- 80% - на третій рік приймання стічних вод за тимчасовим договором.</w:t>
      </w:r>
    </w:p>
    <w:p>
      <w:pPr>
        <w:pStyle w:val="Style22"/>
        <w:widowControl/>
        <w:spacing w:before="0" w:after="0"/>
        <w:ind w:left="0" w:right="0" w:firstLine="709"/>
        <w:jc w:val="both"/>
        <w:rPr>
          <w:color w:val="000000"/>
          <w:sz w:val="28"/>
          <w:szCs w:val="28"/>
        </w:rPr>
      </w:pPr>
      <w:bookmarkStart w:id="48" w:name="n100"/>
      <w:bookmarkEnd w:id="48"/>
      <w:r>
        <w:rPr>
          <w:color w:val="000000"/>
          <w:sz w:val="28"/>
          <w:szCs w:val="28"/>
        </w:rPr>
        <w:t>У разі виявлення перевищення фактичної концентрації будь-якого показника над зазначеною в договорі про приймання понаднормативно забруднених стічних вод додаткова оплата послуг водовідведення здійснюється споживачем з коефіцієнтом кратності, який визначається відповідно до Порядку, але замість встановлених ДК для розрахунку застосовуються тимчасово погоджені концентрації, зазначені в договорі про приймання понаднормативно забруднених стічних вод.</w:t>
      </w:r>
    </w:p>
    <w:p>
      <w:pPr>
        <w:pStyle w:val="Style22"/>
        <w:widowControl/>
        <w:spacing w:before="0" w:after="0"/>
        <w:ind w:left="0" w:right="0" w:firstLine="709"/>
        <w:jc w:val="both"/>
        <w:rPr>
          <w:color w:val="000000"/>
          <w:sz w:val="28"/>
          <w:szCs w:val="28"/>
        </w:rPr>
      </w:pPr>
      <w:r>
        <w:rPr>
          <w:color w:val="000000"/>
          <w:sz w:val="28"/>
          <w:szCs w:val="28"/>
        </w:rPr>
        <w:t>20. Стічні води субспоживача є складовою стічних вод споживача.</w:t>
      </w:r>
    </w:p>
    <w:p>
      <w:pPr>
        <w:pStyle w:val="Style22"/>
        <w:widowControl/>
        <w:spacing w:before="0" w:after="0"/>
        <w:ind w:left="0" w:right="0" w:firstLine="709"/>
        <w:jc w:val="both"/>
        <w:rPr>
          <w:b/>
          <w:b/>
          <w:color w:val="000000"/>
          <w:sz w:val="28"/>
          <w:szCs w:val="28"/>
        </w:rPr>
      </w:pPr>
      <w:r>
        <w:rPr>
          <w:b/>
          <w:color w:val="000000"/>
          <w:sz w:val="28"/>
          <w:szCs w:val="28"/>
        </w:rPr>
      </w:r>
    </w:p>
    <w:p>
      <w:pPr>
        <w:pStyle w:val="Style22"/>
        <w:widowControl/>
        <w:spacing w:before="0" w:after="0"/>
        <w:ind w:left="0" w:right="0" w:firstLine="709"/>
        <w:jc w:val="center"/>
        <w:rPr>
          <w:b/>
          <w:b/>
          <w:color w:val="000000"/>
          <w:sz w:val="28"/>
          <w:szCs w:val="28"/>
        </w:rPr>
      </w:pPr>
      <w:bookmarkStart w:id="49" w:name="n102"/>
      <w:bookmarkEnd w:id="49"/>
      <w:r>
        <w:rPr>
          <w:b/>
          <w:color w:val="000000"/>
          <w:sz w:val="28"/>
          <w:szCs w:val="28"/>
        </w:rPr>
        <w:t>ІV. Визначення ДК забруднюючих речовин у стічних водах споживачів</w:t>
      </w:r>
    </w:p>
    <w:p>
      <w:pPr>
        <w:pStyle w:val="Style22"/>
        <w:widowControl/>
        <w:spacing w:before="0" w:after="0"/>
        <w:ind w:left="0" w:right="0" w:firstLine="709"/>
        <w:jc w:val="both"/>
        <w:rPr>
          <w:color w:val="000000"/>
          <w:sz w:val="28"/>
          <w:szCs w:val="28"/>
        </w:rPr>
      </w:pPr>
      <w:bookmarkStart w:id="50" w:name="n103"/>
      <w:bookmarkEnd w:id="50"/>
      <w:r>
        <w:rPr>
          <w:color w:val="000000"/>
          <w:sz w:val="28"/>
          <w:szCs w:val="28"/>
        </w:rPr>
        <w:t xml:space="preserve">21. ДК забруднюючих речовин у стічних водах споживачів </w:t>
      </w:r>
      <w:r>
        <w:rPr>
          <w:color w:val="000000"/>
          <w:sz w:val="28"/>
          <w:szCs w:val="28"/>
        </w:rPr>
        <w:t xml:space="preserve">визначається відповідно до Додатку 4 до цих Правил, які розраховані </w:t>
      </w:r>
      <w:r>
        <w:rPr>
          <w:color w:val="000000"/>
          <w:sz w:val="28"/>
          <w:szCs w:val="28"/>
        </w:rPr>
        <w:t>як найменш</w:t>
      </w:r>
      <w:r>
        <w:rPr>
          <w:color w:val="000000"/>
          <w:sz w:val="28"/>
          <w:szCs w:val="28"/>
        </w:rPr>
        <w:t>а</w:t>
      </w:r>
      <w:r>
        <w:rPr>
          <w:color w:val="000000"/>
          <w:sz w:val="28"/>
          <w:szCs w:val="28"/>
        </w:rPr>
        <w:t xml:space="preserve"> з чотирьох величин:</w:t>
      </w:r>
    </w:p>
    <w:p>
      <w:pPr>
        <w:pStyle w:val="Style22"/>
        <w:widowControl/>
        <w:spacing w:before="0" w:after="0"/>
        <w:ind w:left="0" w:right="0" w:firstLine="709"/>
        <w:jc w:val="both"/>
        <w:rPr>
          <w:color w:val="000000"/>
          <w:sz w:val="28"/>
          <w:szCs w:val="28"/>
        </w:rPr>
      </w:pPr>
      <w:bookmarkStart w:id="51" w:name="n104"/>
      <w:bookmarkEnd w:id="51"/>
      <w:r>
        <w:rPr>
          <w:color w:val="000000"/>
          <w:sz w:val="28"/>
          <w:szCs w:val="28"/>
        </w:rPr>
        <w:t>1) ДК забруднюючої речовини в каналізаційній мережі (на каналізаційному випуску споживача);</w:t>
      </w:r>
    </w:p>
    <w:p>
      <w:pPr>
        <w:pStyle w:val="Style22"/>
        <w:widowControl/>
        <w:spacing w:before="0" w:after="0"/>
        <w:ind w:left="0" w:right="0" w:firstLine="709"/>
        <w:jc w:val="both"/>
        <w:rPr>
          <w:color w:val="000000"/>
          <w:sz w:val="28"/>
          <w:szCs w:val="28"/>
        </w:rPr>
      </w:pPr>
      <w:bookmarkStart w:id="52" w:name="n105"/>
      <w:bookmarkEnd w:id="52"/>
      <w:r>
        <w:rPr>
          <w:color w:val="000000"/>
          <w:sz w:val="28"/>
          <w:szCs w:val="28"/>
        </w:rPr>
        <w:t>2) ДК забруднюючої речовини в спорудах біологічного очищення (на вході в ці споруди);</w:t>
      </w:r>
    </w:p>
    <w:p>
      <w:pPr>
        <w:pStyle w:val="Style22"/>
        <w:widowControl/>
        <w:spacing w:before="0" w:after="0"/>
        <w:ind w:left="0" w:right="0" w:firstLine="709"/>
        <w:jc w:val="both"/>
        <w:rPr>
          <w:color w:val="000000"/>
          <w:sz w:val="28"/>
          <w:szCs w:val="28"/>
        </w:rPr>
      </w:pPr>
      <w:bookmarkStart w:id="53" w:name="n106"/>
      <w:bookmarkEnd w:id="53"/>
      <w:r>
        <w:rPr>
          <w:color w:val="000000"/>
          <w:sz w:val="28"/>
          <w:szCs w:val="28"/>
        </w:rPr>
        <w:t>3) величини лімітів на скидання забруднюючих речовин, які визначені у дозволі на спеціальне водокористування, виданому виробнику відповідно до статті 49 Водного кодексу України;</w:t>
      </w:r>
    </w:p>
    <w:p>
      <w:pPr>
        <w:pStyle w:val="Style22"/>
        <w:widowControl/>
        <w:spacing w:before="0" w:after="0"/>
        <w:ind w:left="0" w:right="0" w:firstLine="709"/>
        <w:jc w:val="both"/>
        <w:rPr>
          <w:color w:val="000000"/>
          <w:sz w:val="28"/>
          <w:szCs w:val="28"/>
        </w:rPr>
      </w:pPr>
      <w:bookmarkStart w:id="54" w:name="n107"/>
      <w:bookmarkEnd w:id="54"/>
      <w:r>
        <w:rPr>
          <w:color w:val="000000"/>
          <w:sz w:val="28"/>
          <w:szCs w:val="28"/>
        </w:rPr>
        <w:t>4) допустимого вмісту важких металів в осадах стічних вод, що можуть використовуватися як органічні добрива згідно з додатком 3 до цих Правил.</w:t>
      </w:r>
    </w:p>
    <w:p>
      <w:pPr>
        <w:pStyle w:val="Style22"/>
        <w:widowControl/>
        <w:spacing w:before="0" w:after="0"/>
        <w:ind w:left="0" w:right="0" w:firstLine="709"/>
        <w:jc w:val="both"/>
        <w:rPr>
          <w:color w:val="000000"/>
          <w:sz w:val="28"/>
          <w:szCs w:val="28"/>
        </w:rPr>
      </w:pPr>
      <w:bookmarkStart w:id="55" w:name="n108"/>
      <w:bookmarkEnd w:id="55"/>
      <w:r>
        <w:rPr>
          <w:color w:val="000000"/>
          <w:sz w:val="28"/>
          <w:szCs w:val="28"/>
        </w:rPr>
        <w:t>Розрахунок ДК забруднюючих речовин у стічних водах споживачів проводять для кожних каналізаційних очисних споруд виробника або для кожного з каналізаційних колекторів, які відводять стічні води до цих очисних споруд.</w:t>
      </w:r>
    </w:p>
    <w:p>
      <w:pPr>
        <w:pStyle w:val="Style22"/>
        <w:widowControl/>
        <w:spacing w:before="0" w:after="0"/>
        <w:ind w:left="0" w:right="0" w:firstLine="709"/>
        <w:jc w:val="both"/>
        <w:rPr>
          <w:color w:val="000000"/>
          <w:sz w:val="28"/>
          <w:szCs w:val="28"/>
        </w:rPr>
      </w:pPr>
      <w:bookmarkStart w:id="56" w:name="n109"/>
      <w:bookmarkEnd w:id="56"/>
      <w:r>
        <w:rPr>
          <w:color w:val="000000"/>
          <w:sz w:val="28"/>
          <w:szCs w:val="28"/>
        </w:rPr>
        <w:t>22. У разі визначення ДК забруднюючої речовини в стічних водах за ДК у каналізаційній мережі приймають ДК, визначені місцевими правилами приймання, а за їх відсутності — відповідно до вимог до складу та властивостей стічних вод, що скидаються до системи централізованого водовідведення, для безпечного їх відведення та очищення на каналізаційних очисних спорудах згідно з додатком 4 до цих Правил.</w:t>
      </w:r>
    </w:p>
    <w:p>
      <w:pPr>
        <w:pStyle w:val="Style22"/>
        <w:widowControl/>
        <w:spacing w:before="0" w:after="0"/>
        <w:ind w:left="0" w:right="0" w:firstLine="709"/>
        <w:jc w:val="both"/>
        <w:rPr>
          <w:color w:val="000000"/>
          <w:sz w:val="28"/>
          <w:szCs w:val="28"/>
        </w:rPr>
      </w:pPr>
      <w:bookmarkStart w:id="57" w:name="n110"/>
      <w:bookmarkEnd w:id="57"/>
      <w:r>
        <w:rPr>
          <w:color w:val="000000"/>
          <w:sz w:val="28"/>
          <w:szCs w:val="28"/>
        </w:rPr>
        <w:t>23. У разі визначення ДК j-ої забруднюючої речовини в стічних водах за ДК у спорудах біологічного очищення розрахунок виконується за формулою</w:t>
      </w:r>
    </w:p>
    <w:p>
      <w:pPr>
        <w:pStyle w:val="Style22"/>
        <w:widowControl/>
        <w:spacing w:before="0" w:after="0"/>
        <w:ind w:left="0" w:right="0" w:firstLine="709"/>
        <w:jc w:val="both"/>
        <w:rPr/>
      </w:pPr>
      <w:r>
        <w:rPr>
          <w:rStyle w:val="Style14"/>
          <w:color w:val="000000"/>
          <w:sz w:val="28"/>
          <w:szCs w:val="28"/>
        </w:rPr>
        <w:t>ДК</w:t>
      </w:r>
      <w:r>
        <w:rPr>
          <w:rStyle w:val="Style14"/>
          <w:color w:val="000000"/>
          <w:position w:val="-27"/>
          <w:sz w:val="18"/>
          <w:sz w:val="28"/>
          <w:szCs w:val="28"/>
        </w:rPr>
        <w:t>j</w:t>
      </w:r>
      <w:r>
        <w:rPr>
          <w:rStyle w:val="Style14"/>
          <w:color w:val="000000"/>
          <w:position w:val="28"/>
          <w:sz w:val="18"/>
          <w:sz w:val="28"/>
          <w:szCs w:val="28"/>
        </w:rPr>
        <w:t>bo</w:t>
      </w:r>
      <w:r>
        <w:rPr>
          <w:rStyle w:val="Style14"/>
          <w:color w:val="000000"/>
          <w:sz w:val="28"/>
          <w:szCs w:val="28"/>
          <w:lang w:val="en-US"/>
        </w:rPr>
        <w:t xml:space="preserve"> =</w:t>
      </w:r>
      <w:r>
        <w:rPr>
          <w:rStyle w:val="Style14"/>
          <w:color w:val="000000"/>
          <w:sz w:val="28"/>
          <w:szCs w:val="28"/>
        </w:rPr>
        <w:t>(</w:t>
      </w:r>
      <w:r>
        <w:rPr>
          <w:rStyle w:val="Style14"/>
          <w:color w:val="000000"/>
          <w:sz w:val="28"/>
          <w:szCs w:val="28"/>
          <w:lang w:val="en-US"/>
        </w:rPr>
        <w:t>(C</w:t>
      </w:r>
      <w:r>
        <w:rPr>
          <w:rStyle w:val="Style14"/>
          <w:color w:val="000000"/>
          <w:position w:val="-27"/>
          <w:sz w:val="18"/>
          <w:sz w:val="28"/>
          <w:szCs w:val="28"/>
          <w:lang w:val="en-US"/>
        </w:rPr>
        <w:t>j</w:t>
      </w:r>
      <w:r>
        <w:rPr>
          <w:rStyle w:val="Style14"/>
          <w:color w:val="000000"/>
          <w:sz w:val="28"/>
          <w:szCs w:val="28"/>
          <w:lang w:val="en-US"/>
        </w:rPr>
        <w:t xml:space="preserve"> – C</w:t>
      </w:r>
      <w:r>
        <w:rPr>
          <w:rStyle w:val="Style14"/>
          <w:color w:val="000000"/>
          <w:position w:val="-27"/>
          <w:sz w:val="18"/>
          <w:sz w:val="28"/>
          <w:szCs w:val="28"/>
          <w:lang w:val="en-US"/>
        </w:rPr>
        <w:t>j</w:t>
      </w:r>
      <w:r>
        <w:rPr>
          <w:rStyle w:val="Style14"/>
          <w:color w:val="000000"/>
          <w:position w:val="28"/>
          <w:sz w:val="18"/>
          <w:sz w:val="28"/>
          <w:szCs w:val="28"/>
          <w:lang w:val="en-US"/>
        </w:rPr>
        <w:t>gp</w:t>
      </w:r>
      <w:r>
        <w:rPr>
          <w:rStyle w:val="Style14"/>
          <w:color w:val="000000"/>
          <w:sz w:val="28"/>
          <w:szCs w:val="28"/>
        </w:rPr>
        <w:t xml:space="preserve">) * </w:t>
      </w:r>
      <w:r>
        <w:rPr>
          <w:rStyle w:val="Style14"/>
          <w:color w:val="000000"/>
          <w:sz w:val="28"/>
          <w:szCs w:val="28"/>
          <w:lang w:val="en-US"/>
        </w:rPr>
        <w:t xml:space="preserve">Q) / </w:t>
      </w:r>
      <w:r>
        <w:rPr>
          <w:rStyle w:val="Style14"/>
          <w:rFonts w:eastAsia="Times New Roman" w:cs="Times New Roman"/>
          <w:color w:val="000000"/>
          <w:sz w:val="28"/>
          <w:szCs w:val="28"/>
          <w:lang w:val="en-US"/>
        </w:rPr>
        <w:t>∑</w:t>
      </w:r>
      <w:r>
        <w:rPr>
          <w:rStyle w:val="Style14"/>
          <w:color w:val="000000"/>
          <w:position w:val="28"/>
          <w:sz w:val="18"/>
          <w:sz w:val="28"/>
          <w:szCs w:val="28"/>
          <w:lang w:val="en-US"/>
        </w:rPr>
        <w:t>n</w:t>
      </w:r>
      <w:r>
        <w:rPr>
          <w:rStyle w:val="Style14"/>
          <w:color w:val="000000"/>
          <w:position w:val="-27"/>
          <w:sz w:val="18"/>
          <w:sz w:val="28"/>
          <w:szCs w:val="28"/>
          <w:lang w:val="en-US"/>
        </w:rPr>
        <w:t>i=1</w:t>
      </w:r>
      <w:r>
        <w:rPr>
          <w:rStyle w:val="Style14"/>
          <w:color w:val="000000"/>
          <w:sz w:val="28"/>
          <w:szCs w:val="28"/>
          <w:lang w:val="en-US"/>
        </w:rPr>
        <w:t>q</w:t>
      </w:r>
      <w:r>
        <w:rPr>
          <w:rStyle w:val="Style14"/>
          <w:color w:val="000000"/>
          <w:position w:val="-27"/>
          <w:sz w:val="18"/>
          <w:sz w:val="28"/>
          <w:szCs w:val="28"/>
          <w:lang w:val="en-US"/>
        </w:rPr>
        <w:t>i</w:t>
      </w:r>
      <w:r>
        <w:rPr>
          <w:rStyle w:val="Style14"/>
          <w:color w:val="000000"/>
          <w:sz w:val="28"/>
          <w:szCs w:val="28"/>
          <w:lang w:val="en-US"/>
        </w:rPr>
        <w:t xml:space="preserve"> + C</w:t>
      </w:r>
      <w:r>
        <w:rPr>
          <w:rStyle w:val="Style14"/>
          <w:color w:val="000000"/>
          <w:position w:val="-27"/>
          <w:sz w:val="18"/>
          <w:sz w:val="28"/>
          <w:szCs w:val="28"/>
          <w:lang w:val="en-US"/>
        </w:rPr>
        <w:t>j</w:t>
      </w:r>
      <w:r>
        <w:rPr>
          <w:rStyle w:val="Style14"/>
          <w:color w:val="000000"/>
          <w:position w:val="28"/>
          <w:sz w:val="18"/>
          <w:sz w:val="28"/>
          <w:szCs w:val="28"/>
          <w:lang w:val="en-US"/>
        </w:rPr>
        <w:t>gp</w:t>
      </w:r>
      <w:r>
        <w:rPr>
          <w:rStyle w:val="Style14"/>
          <w:color w:val="000000"/>
          <w:sz w:val="28"/>
          <w:szCs w:val="28"/>
          <w:lang w:val="en-US"/>
        </w:rPr>
        <w:t xml:space="preserve"> (</w:t>
      </w:r>
      <w:r>
        <w:rPr>
          <w:rStyle w:val="Style14"/>
          <w:color w:val="000000"/>
          <w:sz w:val="28"/>
          <w:szCs w:val="28"/>
        </w:rPr>
        <w:t>г/м</w:t>
      </w:r>
      <w:r>
        <w:rPr>
          <w:rStyle w:val="Style14"/>
          <w:color w:val="000000"/>
          <w:position w:val="28"/>
          <w:sz w:val="18"/>
          <w:sz w:val="28"/>
          <w:szCs w:val="28"/>
        </w:rPr>
        <w:t>3</w:t>
      </w:r>
      <w:r>
        <w:rPr>
          <w:rStyle w:val="Style14"/>
          <w:color w:val="000000"/>
          <w:sz w:val="28"/>
          <w:szCs w:val="28"/>
          <w:lang w:val="en-US"/>
        </w:rPr>
        <w:t>)</w:t>
      </w:r>
    </w:p>
    <w:p>
      <w:pPr>
        <w:pStyle w:val="Style22"/>
        <w:widowControl/>
        <w:spacing w:before="0" w:after="0"/>
        <w:ind w:left="0" w:right="0" w:firstLine="709"/>
        <w:jc w:val="both"/>
        <w:rPr/>
      </w:pPr>
      <w:r>
        <w:rPr>
          <w:rStyle w:val="Style14"/>
          <w:color w:val="000000"/>
          <w:sz w:val="28"/>
          <w:szCs w:val="28"/>
        </w:rPr>
        <w:t>де ДК</w:t>
      </w:r>
      <w:r>
        <w:rPr>
          <w:rStyle w:val="Style14"/>
          <w:color w:val="000000"/>
          <w:position w:val="-27"/>
          <w:sz w:val="18"/>
          <w:sz w:val="28"/>
          <w:szCs w:val="28"/>
        </w:rPr>
        <w:t>j</w:t>
      </w:r>
      <w:r>
        <w:rPr>
          <w:rStyle w:val="Style14"/>
          <w:color w:val="000000"/>
          <w:position w:val="28"/>
          <w:sz w:val="18"/>
          <w:sz w:val="28"/>
          <w:szCs w:val="28"/>
        </w:rPr>
        <w:t>bo</w:t>
      </w:r>
      <w:r>
        <w:rPr>
          <w:rStyle w:val="Style14"/>
          <w:color w:val="000000"/>
          <w:sz w:val="28"/>
          <w:szCs w:val="28"/>
          <w:lang w:val="en-US"/>
        </w:rPr>
        <w:t xml:space="preserve"> - ДК j-ої забруднюючої речовини в стічних водах перед спорудами біологічного очищення;</w:t>
      </w:r>
    </w:p>
    <w:p>
      <w:pPr>
        <w:pStyle w:val="Style22"/>
        <w:widowControl/>
        <w:spacing w:before="0" w:after="0"/>
        <w:ind w:left="0" w:right="0" w:firstLine="709"/>
        <w:jc w:val="both"/>
        <w:rPr/>
      </w:pPr>
      <w:r>
        <w:rPr>
          <w:rStyle w:val="Style14"/>
          <w:color w:val="000000"/>
          <w:sz w:val="28"/>
          <w:szCs w:val="28"/>
          <w:lang w:val="en-US"/>
        </w:rPr>
        <w:t>C</w:t>
      </w:r>
      <w:r>
        <w:rPr>
          <w:rStyle w:val="Style14"/>
          <w:color w:val="000000"/>
          <w:position w:val="-27"/>
          <w:sz w:val="18"/>
          <w:sz w:val="28"/>
          <w:szCs w:val="28"/>
          <w:lang w:val="en-US"/>
        </w:rPr>
        <w:t>j</w:t>
      </w:r>
      <w:r>
        <w:rPr>
          <w:rStyle w:val="Style14"/>
          <w:color w:val="000000"/>
          <w:sz w:val="28"/>
          <w:szCs w:val="28"/>
          <w:lang w:val="en-US"/>
        </w:rPr>
        <w:t xml:space="preserve"> </w:t>
      </w:r>
      <w:r>
        <w:rPr>
          <w:rStyle w:val="Style14"/>
          <w:color w:val="000000"/>
          <w:sz w:val="28"/>
          <w:szCs w:val="28"/>
        </w:rPr>
        <w:t>- ДК j-ої забруднюючої речовини в спорудах біологічного очищення, (г/м</w:t>
      </w:r>
      <w:r>
        <w:rPr>
          <w:rStyle w:val="Style14"/>
          <w:b/>
          <w:color w:val="000000"/>
          <w:sz w:val="28"/>
          <w:szCs w:val="28"/>
        </w:rPr>
        <w:t>-3</w:t>
      </w:r>
      <w:r>
        <w:rPr>
          <w:rStyle w:val="Style14"/>
          <w:color w:val="000000"/>
          <w:sz w:val="28"/>
          <w:szCs w:val="28"/>
        </w:rPr>
        <w:t>) (приймається за регламентом роботи КОС виробника або з урахуванням допустимих величин показників якості стічних вод та ефективності видалення забруднень на спорудах біологічного очищення згідно із додатком 5 до цих Правил);</w:t>
      </w:r>
    </w:p>
    <w:p>
      <w:pPr>
        <w:pStyle w:val="Style22"/>
        <w:widowControl/>
        <w:spacing w:before="0" w:after="0"/>
        <w:ind w:left="0" w:right="0" w:firstLine="709"/>
        <w:jc w:val="both"/>
        <w:rPr/>
      </w:pPr>
      <w:r>
        <w:rPr>
          <w:rStyle w:val="Style14"/>
          <w:color w:val="000000"/>
          <w:sz w:val="28"/>
          <w:szCs w:val="28"/>
          <w:lang w:val="en-US"/>
        </w:rPr>
        <w:t xml:space="preserve">Q </w:t>
      </w:r>
      <w:r>
        <w:rPr>
          <w:rStyle w:val="Style14"/>
          <w:color w:val="000000"/>
          <w:sz w:val="28"/>
          <w:szCs w:val="28"/>
        </w:rPr>
        <w:t>- середньодобова витрата стічних вод на вході на КОС (м</w:t>
      </w:r>
      <w:r>
        <w:rPr>
          <w:rStyle w:val="Style14"/>
          <w:b w:val="false"/>
          <w:bCs w:val="false"/>
          <w:color w:val="000000"/>
          <w:sz w:val="28"/>
          <w:szCs w:val="28"/>
          <w:vertAlign w:val="superscript"/>
        </w:rPr>
        <w:t>3</w:t>
      </w:r>
      <w:r>
        <w:rPr>
          <w:rStyle w:val="Style14"/>
          <w:color w:val="000000"/>
          <w:sz w:val="28"/>
          <w:szCs w:val="28"/>
        </w:rPr>
        <w:t>/добу);</w:t>
      </w:r>
    </w:p>
    <w:p>
      <w:pPr>
        <w:pStyle w:val="Style22"/>
        <w:widowControl/>
        <w:spacing w:before="0" w:after="0"/>
        <w:ind w:left="0" w:right="0" w:firstLine="709"/>
        <w:jc w:val="both"/>
        <w:rPr/>
      </w:pPr>
      <w:r>
        <w:rPr>
          <w:rStyle w:val="Style14"/>
          <w:rFonts w:eastAsia="Times New Roman" w:cs="Times New Roman"/>
          <w:color w:val="000000"/>
          <w:sz w:val="28"/>
          <w:szCs w:val="28"/>
          <w:lang w:val="en-US"/>
        </w:rPr>
        <w:t>∑</w:t>
      </w:r>
      <w:r>
        <w:rPr>
          <w:rStyle w:val="Style14"/>
          <w:color w:val="000000"/>
          <w:position w:val="28"/>
          <w:sz w:val="18"/>
          <w:sz w:val="28"/>
          <w:szCs w:val="28"/>
          <w:lang w:val="en-US"/>
        </w:rPr>
        <w:t>n</w:t>
      </w:r>
      <w:r>
        <w:rPr>
          <w:rStyle w:val="Style14"/>
          <w:color w:val="000000"/>
          <w:position w:val="-27"/>
          <w:sz w:val="18"/>
          <w:sz w:val="28"/>
          <w:szCs w:val="28"/>
          <w:lang w:val="en-US"/>
        </w:rPr>
        <w:t>i=1</w:t>
      </w:r>
      <w:r>
        <w:rPr>
          <w:rStyle w:val="Style14"/>
          <w:color w:val="000000"/>
          <w:sz w:val="28"/>
          <w:szCs w:val="28"/>
          <w:lang w:val="en-US"/>
        </w:rPr>
        <w:t>q</w:t>
      </w:r>
      <w:r>
        <w:rPr>
          <w:rStyle w:val="Style14"/>
          <w:color w:val="000000"/>
          <w:position w:val="-27"/>
          <w:sz w:val="18"/>
          <w:sz w:val="28"/>
          <w:szCs w:val="28"/>
          <w:lang w:val="en-US"/>
        </w:rPr>
        <w:t xml:space="preserve">i </w:t>
      </w:r>
      <w:r>
        <w:rPr>
          <w:rStyle w:val="Style14"/>
          <w:color w:val="000000"/>
          <w:sz w:val="28"/>
          <w:szCs w:val="28"/>
        </w:rPr>
        <w:t>- середньодобова витрата стічних вод споживачів, які можуть містити це забруднення (м</w:t>
      </w:r>
      <w:r>
        <w:rPr>
          <w:rStyle w:val="Style14"/>
          <w:b w:val="false"/>
          <w:bCs w:val="false"/>
          <w:color w:val="000000"/>
          <w:sz w:val="28"/>
          <w:szCs w:val="28"/>
          <w:vertAlign w:val="superscript"/>
        </w:rPr>
        <w:t>3</w:t>
      </w:r>
      <w:r>
        <w:rPr>
          <w:rStyle w:val="Style14"/>
          <w:color w:val="000000"/>
          <w:sz w:val="28"/>
          <w:szCs w:val="28"/>
        </w:rPr>
        <w:t>/добу);</w:t>
      </w:r>
    </w:p>
    <w:p>
      <w:pPr>
        <w:pStyle w:val="Style22"/>
        <w:widowControl/>
        <w:spacing w:before="0" w:after="0"/>
        <w:ind w:left="0" w:right="0" w:firstLine="709"/>
        <w:jc w:val="both"/>
        <w:rPr/>
      </w:pPr>
      <w:r>
        <w:rPr>
          <w:rStyle w:val="Style14"/>
          <w:color w:val="000000"/>
          <w:sz w:val="28"/>
          <w:szCs w:val="28"/>
          <w:lang w:val="en-US"/>
        </w:rPr>
        <w:t>C</w:t>
      </w:r>
      <w:r>
        <w:rPr>
          <w:rStyle w:val="Style14"/>
          <w:color w:val="000000"/>
          <w:position w:val="-27"/>
          <w:sz w:val="18"/>
          <w:sz w:val="28"/>
          <w:szCs w:val="28"/>
          <w:lang w:val="en-US"/>
        </w:rPr>
        <w:t>j</w:t>
      </w:r>
      <w:r>
        <w:rPr>
          <w:rStyle w:val="Style14"/>
          <w:color w:val="000000"/>
          <w:position w:val="28"/>
          <w:sz w:val="18"/>
          <w:sz w:val="28"/>
          <w:szCs w:val="28"/>
          <w:lang w:val="en-US"/>
        </w:rPr>
        <w:t xml:space="preserve">gp </w:t>
      </w:r>
      <w:r>
        <w:rPr>
          <w:rStyle w:val="Style14"/>
          <w:color w:val="000000"/>
          <w:sz w:val="28"/>
          <w:szCs w:val="28"/>
        </w:rPr>
        <w:t>- концентрація j-ої забруднюючої речовини в господарсько-побутових стічних водах (г/м</w:t>
      </w:r>
      <w:r>
        <w:rPr>
          <w:rStyle w:val="Style14"/>
          <w:b w:val="false"/>
          <w:bCs w:val="false"/>
          <w:color w:val="000000"/>
          <w:sz w:val="28"/>
          <w:szCs w:val="28"/>
          <w:vertAlign w:val="superscript"/>
        </w:rPr>
        <w:t>3</w:t>
      </w:r>
      <w:r>
        <w:rPr>
          <w:rStyle w:val="Style14"/>
          <w:color w:val="000000"/>
          <w:sz w:val="28"/>
          <w:szCs w:val="28"/>
        </w:rPr>
        <w:t>) (приймається за фактичними середніми даними експлуатаційних служб виробника. За відсутності таких даних приймається: для азоту амонійного - 20 (г/м</w:t>
      </w:r>
      <w:r>
        <w:rPr>
          <w:rStyle w:val="Style14"/>
          <w:b w:val="false"/>
          <w:bCs w:val="false"/>
          <w:color w:val="000000"/>
          <w:sz w:val="28"/>
          <w:szCs w:val="28"/>
          <w:vertAlign w:val="superscript"/>
        </w:rPr>
        <w:t>3</w:t>
      </w:r>
      <w:r>
        <w:rPr>
          <w:rStyle w:val="Style14"/>
          <w:color w:val="000000"/>
          <w:sz w:val="28"/>
          <w:szCs w:val="28"/>
        </w:rPr>
        <w:t>); заліза загального - 2 (г/м</w:t>
      </w:r>
      <w:r>
        <w:rPr>
          <w:rStyle w:val="Style14"/>
          <w:b w:val="false"/>
          <w:bCs w:val="false"/>
          <w:color w:val="000000"/>
          <w:sz w:val="28"/>
          <w:szCs w:val="28"/>
          <w:vertAlign w:val="superscript"/>
        </w:rPr>
        <w:t>3</w:t>
      </w:r>
      <w:r>
        <w:rPr>
          <w:rStyle w:val="Style14"/>
          <w:color w:val="000000"/>
          <w:sz w:val="28"/>
          <w:szCs w:val="28"/>
        </w:rPr>
        <w:t>); жирів - 30 (г/м</w:t>
      </w:r>
      <w:r>
        <w:rPr>
          <w:rStyle w:val="Style14"/>
          <w:b w:val="false"/>
          <w:bCs w:val="false"/>
          <w:color w:val="000000"/>
          <w:sz w:val="28"/>
          <w:szCs w:val="28"/>
          <w:vertAlign w:val="superscript"/>
        </w:rPr>
        <w:t>3</w:t>
      </w:r>
      <w:r>
        <w:rPr>
          <w:rStyle w:val="Style14"/>
          <w:color w:val="000000"/>
          <w:sz w:val="28"/>
          <w:szCs w:val="28"/>
        </w:rPr>
        <w:t>); СПАР - 5 (г/м</w:t>
      </w:r>
      <w:r>
        <w:rPr>
          <w:rStyle w:val="Style14"/>
          <w:b w:val="false"/>
          <w:bCs w:val="false"/>
          <w:color w:val="000000"/>
          <w:sz w:val="28"/>
          <w:szCs w:val="28"/>
          <w:vertAlign w:val="superscript"/>
        </w:rPr>
        <w:t>3</w:t>
      </w:r>
      <w:r>
        <w:rPr>
          <w:rStyle w:val="Style14"/>
          <w:color w:val="000000"/>
          <w:sz w:val="28"/>
          <w:szCs w:val="28"/>
        </w:rPr>
        <w:t>); хлоридів - додатково 50 (г/м</w:t>
      </w:r>
      <w:r>
        <w:rPr>
          <w:rStyle w:val="Style14"/>
          <w:b w:val="false"/>
          <w:bCs w:val="false"/>
          <w:color w:val="000000"/>
          <w:sz w:val="28"/>
          <w:szCs w:val="28"/>
          <w:vertAlign w:val="superscript"/>
        </w:rPr>
        <w:t>3</w:t>
      </w:r>
      <w:r>
        <w:rPr>
          <w:rStyle w:val="Style14"/>
          <w:color w:val="000000"/>
          <w:sz w:val="28"/>
          <w:szCs w:val="28"/>
        </w:rPr>
        <w:t>) до вмісту в джерелі водопостачання; фосфатів - 10 (г/м</w:t>
      </w:r>
      <w:r>
        <w:rPr>
          <w:rStyle w:val="Style14"/>
          <w:b w:val="false"/>
          <w:bCs w:val="false"/>
          <w:color w:val="000000"/>
          <w:sz w:val="28"/>
          <w:szCs w:val="28"/>
          <w:vertAlign w:val="superscript"/>
        </w:rPr>
        <w:t>3</w:t>
      </w:r>
      <w:r>
        <w:rPr>
          <w:rStyle w:val="Style14"/>
          <w:color w:val="000000"/>
          <w:sz w:val="28"/>
          <w:szCs w:val="28"/>
        </w:rPr>
        <w:t>); для інших речовин, регламентованих Державними санітарними нормами та Правилами «Гігієнічні вимоги до води питної, призначеної для споживання людиною» (ДСанПіН 2.2.4-171-10), затвердженими наказом Міністерства охорони здоров’я України від 12 травня 2010 року № 400, зареєстрованими у Міністерстві юстиції України 01 липня 2010 року за № 452/17747, - за середньорічним вмістом у водопровідній воді).</w:t>
      </w:r>
    </w:p>
    <w:p>
      <w:pPr>
        <w:pStyle w:val="Style22"/>
        <w:widowControl/>
        <w:spacing w:before="0" w:after="0"/>
        <w:ind w:left="0" w:right="0" w:firstLine="709"/>
        <w:jc w:val="both"/>
        <w:rPr>
          <w:color w:val="000000"/>
          <w:sz w:val="28"/>
          <w:szCs w:val="28"/>
        </w:rPr>
      </w:pPr>
      <w:bookmarkStart w:id="58" w:name="n113"/>
      <w:bookmarkEnd w:id="58"/>
      <w:r>
        <w:rPr>
          <w:color w:val="000000"/>
          <w:sz w:val="28"/>
          <w:szCs w:val="28"/>
        </w:rPr>
        <w:t>24. У разі наявності в стічних водах, які надходять на каналізаційні очисні споруди населеного пункту, кількох забруднюючих речовин першого і другого класів небезпеки, визначених у додатку 5 до цих Правил, що нормуються за санітарно-токсикологічною ознакою, необхідно зменшити ДК кожної з цих речовин у стільки разів, скільки таких речовин надходить зі стічними водами.</w:t>
      </w:r>
    </w:p>
    <w:p>
      <w:pPr>
        <w:pStyle w:val="Style22"/>
        <w:widowControl/>
        <w:spacing w:before="0" w:after="0"/>
        <w:ind w:left="0" w:right="0" w:firstLine="709"/>
        <w:jc w:val="both"/>
        <w:rPr/>
      </w:pPr>
      <w:bookmarkStart w:id="59" w:name="n114"/>
      <w:bookmarkEnd w:id="59"/>
      <w:r>
        <w:rPr>
          <w:rStyle w:val="Style14"/>
          <w:color w:val="000000"/>
          <w:sz w:val="28"/>
          <w:szCs w:val="28"/>
        </w:rPr>
        <w:t>25. ДК j-ої забруднюючої речовини за величиною загального ліміту на його скид у водойму (L</w:t>
      </w:r>
      <w:r>
        <w:rPr>
          <w:rStyle w:val="Style14"/>
          <w:color w:val="000000"/>
          <w:position w:val="-27"/>
          <w:sz w:val="18"/>
          <w:sz w:val="28"/>
          <w:szCs w:val="28"/>
        </w:rPr>
        <w:t>zag</w:t>
      </w:r>
      <w:r>
        <w:rPr>
          <w:rStyle w:val="Style14"/>
          <w:color w:val="000000"/>
          <w:sz w:val="28"/>
          <w:szCs w:val="28"/>
        </w:rPr>
        <w:t>, т/рік) розраховують за формулою</w:t>
      </w:r>
    </w:p>
    <w:p>
      <w:pPr>
        <w:pStyle w:val="Style22"/>
        <w:widowControl/>
        <w:spacing w:before="0" w:after="0"/>
        <w:ind w:left="0" w:right="0" w:firstLine="709"/>
        <w:jc w:val="both"/>
        <w:rPr/>
      </w:pPr>
      <w:bookmarkStart w:id="60" w:name="n115"/>
      <w:bookmarkEnd w:id="60"/>
      <w:r>
        <w:rPr>
          <w:rStyle w:val="Style14"/>
          <w:color w:val="000000"/>
          <w:sz w:val="28"/>
          <w:szCs w:val="28"/>
          <w:lang w:val="en-US"/>
        </w:rPr>
        <w:t>Дк</w:t>
      </w:r>
      <w:r>
        <w:rPr>
          <w:rStyle w:val="Style14"/>
          <w:color w:val="000000"/>
          <w:position w:val="-27"/>
          <w:sz w:val="18"/>
          <w:sz w:val="28"/>
          <w:szCs w:val="28"/>
          <w:lang w:val="en-US"/>
        </w:rPr>
        <w:t>j</w:t>
      </w:r>
      <w:r>
        <w:rPr>
          <w:rStyle w:val="Style14"/>
          <w:color w:val="000000"/>
          <w:position w:val="28"/>
          <w:sz w:val="18"/>
          <w:sz w:val="28"/>
          <w:szCs w:val="28"/>
          <w:lang w:val="en-US"/>
        </w:rPr>
        <w:t>zl</w:t>
      </w:r>
      <w:r>
        <w:rPr>
          <w:rStyle w:val="Style14"/>
          <w:color w:val="000000"/>
          <w:sz w:val="28"/>
          <w:szCs w:val="28"/>
          <w:lang w:val="en-US"/>
        </w:rPr>
        <w:t xml:space="preserve"> = ((L</w:t>
      </w:r>
      <w:r>
        <w:rPr>
          <w:rStyle w:val="Style14"/>
          <w:color w:val="000000"/>
          <w:position w:val="-27"/>
          <w:sz w:val="18"/>
          <w:sz w:val="28"/>
          <w:szCs w:val="28"/>
          <w:lang w:val="en-US"/>
        </w:rPr>
        <w:t>zag</w:t>
      </w:r>
      <w:r>
        <w:rPr>
          <w:rStyle w:val="Style14"/>
          <w:color w:val="000000"/>
          <w:sz w:val="28"/>
          <w:szCs w:val="28"/>
          <w:lang w:val="en-US"/>
        </w:rPr>
        <w:t xml:space="preserve"> – L</w:t>
      </w:r>
      <w:r>
        <w:rPr>
          <w:rStyle w:val="Style14"/>
          <w:color w:val="000000"/>
          <w:position w:val="-27"/>
          <w:sz w:val="18"/>
          <w:sz w:val="28"/>
          <w:szCs w:val="28"/>
          <w:lang w:val="en-US"/>
        </w:rPr>
        <w:t>gp</w:t>
      </w:r>
      <w:r>
        <w:rPr>
          <w:rStyle w:val="Style14"/>
          <w:color w:val="000000"/>
          <w:sz w:val="28"/>
          <w:szCs w:val="28"/>
          <w:lang w:val="en-US"/>
        </w:rPr>
        <w:t>) * 10</w:t>
      </w:r>
      <w:r>
        <w:rPr>
          <w:rStyle w:val="Style14"/>
          <w:color w:val="000000"/>
          <w:position w:val="28"/>
          <w:sz w:val="18"/>
          <w:sz w:val="28"/>
          <w:szCs w:val="28"/>
          <w:lang w:val="en-US"/>
        </w:rPr>
        <w:t>6</w:t>
      </w:r>
      <w:r>
        <w:rPr>
          <w:rStyle w:val="Style14"/>
          <w:color w:val="000000"/>
          <w:sz w:val="28"/>
          <w:szCs w:val="28"/>
          <w:lang w:val="en-US"/>
        </w:rPr>
        <w:t>) / 365 * (1 – K</w:t>
      </w:r>
      <w:r>
        <w:rPr>
          <w:rStyle w:val="Style14"/>
          <w:color w:val="000000"/>
          <w:position w:val="-27"/>
          <w:sz w:val="18"/>
          <w:sz w:val="28"/>
          <w:szCs w:val="28"/>
          <w:lang w:val="en-US"/>
        </w:rPr>
        <w:t>j</w:t>
      </w:r>
      <w:r>
        <w:rPr>
          <w:rStyle w:val="Style14"/>
          <w:color w:val="000000"/>
          <w:sz w:val="28"/>
          <w:szCs w:val="28"/>
          <w:lang w:val="en-US"/>
        </w:rPr>
        <w:t xml:space="preserve">) * </w:t>
      </w:r>
      <w:r>
        <w:rPr>
          <w:rStyle w:val="Style14"/>
          <w:rFonts w:eastAsia="Times New Roman" w:cs="Times New Roman"/>
          <w:color w:val="000000"/>
          <w:sz w:val="28"/>
          <w:szCs w:val="28"/>
          <w:lang w:val="en-US"/>
        </w:rPr>
        <w:t>∑</w:t>
      </w:r>
      <w:r>
        <w:rPr>
          <w:rStyle w:val="Style14"/>
          <w:color w:val="000000"/>
          <w:position w:val="28"/>
          <w:sz w:val="18"/>
          <w:sz w:val="28"/>
          <w:szCs w:val="28"/>
          <w:lang w:val="en-US"/>
        </w:rPr>
        <w:t>n</w:t>
      </w:r>
      <w:r>
        <w:rPr>
          <w:rStyle w:val="Style14"/>
          <w:color w:val="000000"/>
          <w:position w:val="-27"/>
          <w:sz w:val="18"/>
          <w:sz w:val="28"/>
          <w:szCs w:val="28"/>
          <w:lang w:val="en-US"/>
        </w:rPr>
        <w:t>i=1</w:t>
      </w:r>
      <w:r>
        <w:rPr>
          <w:rStyle w:val="Style14"/>
          <w:color w:val="000000"/>
          <w:sz w:val="28"/>
          <w:szCs w:val="28"/>
          <w:lang w:val="en-US"/>
        </w:rPr>
        <w:t>q</w:t>
      </w:r>
      <w:r>
        <w:rPr>
          <w:rStyle w:val="Style14"/>
          <w:color w:val="000000"/>
          <w:position w:val="-27"/>
          <w:sz w:val="18"/>
          <w:sz w:val="28"/>
          <w:szCs w:val="28"/>
          <w:lang w:val="en-US"/>
        </w:rPr>
        <w:t>i</w:t>
      </w:r>
      <w:r>
        <w:rPr>
          <w:rStyle w:val="Style14"/>
          <w:color w:val="000000"/>
          <w:sz w:val="28"/>
          <w:szCs w:val="28"/>
          <w:lang w:val="en-US"/>
        </w:rPr>
        <w:t xml:space="preserve"> (</w:t>
      </w:r>
      <w:r>
        <w:rPr>
          <w:rStyle w:val="Style14"/>
          <w:color w:val="000000"/>
          <w:sz w:val="28"/>
          <w:szCs w:val="28"/>
        </w:rPr>
        <w:t>г/м</w:t>
      </w:r>
      <w:r>
        <w:rPr>
          <w:rStyle w:val="Style14"/>
          <w:color w:val="000000"/>
          <w:position w:val="28"/>
          <w:sz w:val="18"/>
          <w:sz w:val="28"/>
          <w:szCs w:val="28"/>
        </w:rPr>
        <w:t>3</w:t>
      </w:r>
      <w:r>
        <w:rPr>
          <w:rStyle w:val="Style14"/>
          <w:color w:val="000000"/>
          <w:sz w:val="28"/>
          <w:szCs w:val="28"/>
          <w:lang w:val="en-US"/>
        </w:rPr>
        <w:t>)</w:t>
      </w:r>
    </w:p>
    <w:p>
      <w:pPr>
        <w:pStyle w:val="Normal"/>
        <w:ind w:left="0" w:right="0" w:firstLine="709"/>
        <w:jc w:val="both"/>
        <w:rPr/>
      </w:pPr>
      <w:bookmarkStart w:id="61" w:name="n116"/>
      <w:bookmarkEnd w:id="61"/>
      <w:r>
        <w:rPr>
          <w:rStyle w:val="Style14"/>
          <w:color w:val="000000"/>
          <w:sz w:val="28"/>
          <w:szCs w:val="28"/>
        </w:rPr>
        <w:t xml:space="preserve">де </w:t>
      </w:r>
      <w:r>
        <w:rPr>
          <w:rStyle w:val="Style14"/>
          <w:color w:val="000000"/>
          <w:sz w:val="28"/>
          <w:szCs w:val="28"/>
          <w:lang w:val="en-US"/>
        </w:rPr>
        <w:t>Дк</w:t>
      </w:r>
      <w:r>
        <w:rPr>
          <w:rStyle w:val="Style14"/>
          <w:color w:val="000000"/>
          <w:position w:val="-27"/>
          <w:sz w:val="18"/>
          <w:sz w:val="28"/>
          <w:szCs w:val="28"/>
          <w:lang w:val="en-US"/>
        </w:rPr>
        <w:t>j</w:t>
      </w:r>
      <w:r>
        <w:rPr>
          <w:rStyle w:val="Style14"/>
          <w:color w:val="000000"/>
          <w:position w:val="28"/>
          <w:sz w:val="18"/>
          <w:sz w:val="28"/>
          <w:szCs w:val="28"/>
          <w:lang w:val="en-US"/>
        </w:rPr>
        <w:t>zl</w:t>
      </w:r>
      <w:r>
        <w:rPr>
          <w:rStyle w:val="Style14"/>
          <w:color w:val="000000"/>
          <w:sz w:val="28"/>
          <w:szCs w:val="28"/>
        </w:rPr>
        <w:t xml:space="preserve"> - ДК j-ої забруднюючої речовини в стічних водах за величиною загального ліміту на його скид:</w:t>
      </w:r>
    </w:p>
    <w:p>
      <w:pPr>
        <w:pStyle w:val="Style26"/>
        <w:ind w:left="0" w:right="0" w:firstLine="709"/>
        <w:jc w:val="both"/>
        <w:rPr/>
      </w:pPr>
      <w:r>
        <w:rPr>
          <w:rStyle w:val="Style14"/>
          <w:color w:val="000000"/>
          <w:sz w:val="28"/>
          <w:szCs w:val="28"/>
          <w:lang w:val="en-US"/>
        </w:rPr>
        <w:t>L</w:t>
      </w:r>
      <w:r>
        <w:rPr>
          <w:rStyle w:val="Style14"/>
          <w:color w:val="000000"/>
          <w:position w:val="-27"/>
          <w:sz w:val="18"/>
          <w:sz w:val="28"/>
          <w:szCs w:val="28"/>
          <w:lang w:val="en-US"/>
        </w:rPr>
        <w:t>gp</w:t>
      </w:r>
      <w:r>
        <w:rPr>
          <w:rStyle w:val="Style14"/>
          <w:color w:val="000000"/>
          <w:sz w:val="28"/>
          <w:szCs w:val="28"/>
          <w:lang w:val="en-US"/>
        </w:rPr>
        <w:t xml:space="preserve"> = (365 * C</w:t>
      </w:r>
      <w:r>
        <w:rPr>
          <w:rStyle w:val="Style14"/>
          <w:color w:val="000000"/>
          <w:position w:val="-27"/>
          <w:sz w:val="18"/>
          <w:sz w:val="28"/>
          <w:szCs w:val="28"/>
          <w:lang w:val="en-US"/>
        </w:rPr>
        <w:t>j</w:t>
      </w:r>
      <w:r>
        <w:rPr>
          <w:rStyle w:val="Style14"/>
          <w:color w:val="000000"/>
          <w:position w:val="28"/>
          <w:sz w:val="18"/>
          <w:sz w:val="28"/>
          <w:szCs w:val="28"/>
          <w:lang w:val="en-US"/>
        </w:rPr>
        <w:t>gp</w:t>
      </w:r>
      <w:r>
        <w:rPr>
          <w:rStyle w:val="Style14"/>
          <w:color w:val="000000"/>
          <w:sz w:val="28"/>
          <w:szCs w:val="28"/>
          <w:lang w:val="en-US"/>
        </w:rPr>
        <w:t xml:space="preserve"> * Q</w:t>
      </w:r>
      <w:r>
        <w:rPr>
          <w:rStyle w:val="Style14"/>
          <w:color w:val="000000"/>
          <w:position w:val="-27"/>
          <w:sz w:val="18"/>
          <w:sz w:val="28"/>
          <w:szCs w:val="28"/>
          <w:lang w:val="en-US"/>
        </w:rPr>
        <w:t>gp</w:t>
      </w:r>
      <w:r>
        <w:rPr>
          <w:rStyle w:val="Style14"/>
          <w:color w:val="000000"/>
          <w:sz w:val="28"/>
          <w:szCs w:val="28"/>
          <w:lang w:val="en-US"/>
        </w:rPr>
        <w:t xml:space="preserve"> * (1 – K</w:t>
      </w:r>
      <w:r>
        <w:rPr>
          <w:rStyle w:val="Style14"/>
          <w:color w:val="000000"/>
          <w:position w:val="-27"/>
          <w:sz w:val="18"/>
          <w:sz w:val="28"/>
          <w:szCs w:val="28"/>
          <w:lang w:val="en-US"/>
        </w:rPr>
        <w:t>j</w:t>
      </w:r>
      <w:r>
        <w:rPr>
          <w:rStyle w:val="Style14"/>
          <w:color w:val="000000"/>
          <w:sz w:val="28"/>
          <w:szCs w:val="28"/>
          <w:lang w:val="en-US"/>
        </w:rPr>
        <w:t>)) / 10</w:t>
      </w:r>
      <w:r>
        <w:rPr>
          <w:rStyle w:val="Style14"/>
          <w:color w:val="000000"/>
          <w:position w:val="28"/>
          <w:sz w:val="18"/>
          <w:sz w:val="28"/>
          <w:szCs w:val="28"/>
          <w:lang w:val="en-US"/>
        </w:rPr>
        <w:t>6</w:t>
      </w:r>
      <w:r>
        <w:rPr>
          <w:rStyle w:val="Style14"/>
          <w:color w:val="000000"/>
          <w:sz w:val="28"/>
          <w:szCs w:val="28"/>
          <w:lang w:val="en-US"/>
        </w:rPr>
        <w:t xml:space="preserve"> (</w:t>
      </w:r>
      <w:r>
        <w:rPr>
          <w:rStyle w:val="Style14"/>
          <w:color w:val="000000"/>
          <w:sz w:val="28"/>
          <w:szCs w:val="28"/>
        </w:rPr>
        <w:t>т/рік</w:t>
      </w:r>
      <w:r>
        <w:rPr>
          <w:rStyle w:val="Style14"/>
          <w:color w:val="000000"/>
          <w:sz w:val="28"/>
          <w:szCs w:val="28"/>
          <w:lang w:val="en-US"/>
        </w:rPr>
        <w:t xml:space="preserve">) </w:t>
      </w:r>
      <w:r>
        <w:rPr>
          <w:rStyle w:val="Style14"/>
          <w:color w:val="000000"/>
          <w:sz w:val="28"/>
          <w:szCs w:val="28"/>
        </w:rPr>
        <w:t>- частка ліміту, яка припадає на господарсько-побутовий стік населеного пункту;</w:t>
      </w:r>
    </w:p>
    <w:p>
      <w:pPr>
        <w:pStyle w:val="Normal"/>
        <w:ind w:left="0" w:right="0" w:firstLine="709"/>
        <w:jc w:val="both"/>
        <w:rPr>
          <w:color w:val="000000"/>
          <w:sz w:val="28"/>
          <w:szCs w:val="28"/>
        </w:rPr>
      </w:pPr>
      <w:r>
        <w:rPr>
          <w:color w:val="000000"/>
          <w:sz w:val="28"/>
          <w:szCs w:val="28"/>
        </w:rPr>
        <w:t>365 - кількість днів у році;</w:t>
      </w:r>
    </w:p>
    <w:p>
      <w:pPr>
        <w:pStyle w:val="Normal"/>
        <w:ind w:left="0" w:right="0" w:firstLine="709"/>
        <w:jc w:val="both"/>
        <w:rPr/>
      </w:pPr>
      <w:r>
        <w:rPr>
          <w:rStyle w:val="Style14"/>
          <w:color w:val="000000"/>
          <w:sz w:val="28"/>
          <w:szCs w:val="28"/>
          <w:lang w:val="en-US"/>
        </w:rPr>
        <w:t>Q</w:t>
      </w:r>
      <w:r>
        <w:rPr>
          <w:rStyle w:val="Style14"/>
          <w:color w:val="000000"/>
          <w:position w:val="-27"/>
          <w:sz w:val="18"/>
          <w:sz w:val="28"/>
          <w:szCs w:val="28"/>
          <w:lang w:val="en-US"/>
        </w:rPr>
        <w:t>gp</w:t>
      </w:r>
      <w:r>
        <w:rPr>
          <w:rStyle w:val="Style14"/>
          <w:color w:val="000000"/>
          <w:sz w:val="28"/>
          <w:szCs w:val="28"/>
        </w:rPr>
        <w:t xml:space="preserve"> - середньодобова витрата господарсько-побутових стічних вод на вході на КОС (м</w:t>
      </w:r>
      <w:r>
        <w:rPr>
          <w:rStyle w:val="Style14"/>
          <w:color w:val="000000"/>
          <w:position w:val="28"/>
          <w:sz w:val="18"/>
          <w:sz w:val="28"/>
          <w:szCs w:val="28"/>
        </w:rPr>
        <w:t>3</w:t>
      </w:r>
      <w:r>
        <w:rPr>
          <w:rStyle w:val="Style14"/>
          <w:color w:val="000000"/>
          <w:sz w:val="28"/>
          <w:szCs w:val="28"/>
        </w:rPr>
        <w:t>/добу);</w:t>
      </w:r>
    </w:p>
    <w:p>
      <w:pPr>
        <w:pStyle w:val="Style26"/>
        <w:ind w:left="0" w:right="0" w:firstLine="709"/>
        <w:jc w:val="both"/>
        <w:rPr/>
      </w:pPr>
      <w:r>
        <w:rPr>
          <w:rStyle w:val="Style14"/>
          <w:rFonts w:eastAsia="Times New Roman" w:cs="Times New Roman"/>
          <w:color w:val="000000"/>
          <w:sz w:val="28"/>
          <w:szCs w:val="28"/>
          <w:lang w:val="en-US"/>
        </w:rPr>
        <w:t>∑</w:t>
      </w:r>
      <w:r>
        <w:rPr>
          <w:rStyle w:val="Style14"/>
          <w:color w:val="000000"/>
          <w:position w:val="28"/>
          <w:sz w:val="18"/>
          <w:sz w:val="28"/>
          <w:szCs w:val="28"/>
          <w:lang w:val="en-US"/>
        </w:rPr>
        <w:t>n</w:t>
      </w:r>
      <w:r>
        <w:rPr>
          <w:rStyle w:val="Style14"/>
          <w:color w:val="000000"/>
          <w:position w:val="-27"/>
          <w:sz w:val="18"/>
          <w:sz w:val="28"/>
          <w:szCs w:val="28"/>
          <w:lang w:val="en-US"/>
        </w:rPr>
        <w:t>i=1</w:t>
      </w:r>
      <w:r>
        <w:rPr>
          <w:rStyle w:val="Style14"/>
          <w:color w:val="000000"/>
          <w:sz w:val="28"/>
          <w:szCs w:val="28"/>
          <w:lang w:val="en-US"/>
        </w:rPr>
        <w:t>q</w:t>
      </w:r>
      <w:r>
        <w:rPr>
          <w:rStyle w:val="Style14"/>
          <w:color w:val="000000"/>
          <w:position w:val="-27"/>
          <w:sz w:val="18"/>
          <w:sz w:val="28"/>
          <w:szCs w:val="28"/>
          <w:lang w:val="en-US"/>
        </w:rPr>
        <w:t>i</w:t>
      </w:r>
      <w:r>
        <w:rPr>
          <w:rStyle w:val="Style14"/>
          <w:color w:val="000000"/>
          <w:sz w:val="28"/>
          <w:szCs w:val="28"/>
          <w:lang w:val="en-US"/>
        </w:rPr>
        <w:t xml:space="preserve"> </w:t>
      </w:r>
      <w:r>
        <w:rPr>
          <w:rStyle w:val="Style14"/>
          <w:color w:val="000000"/>
          <w:sz w:val="28"/>
          <w:szCs w:val="28"/>
        </w:rPr>
        <w:t>- середньодобова витрата стічних вод споживачів, які можуть містити це забруднення м</w:t>
      </w:r>
      <w:r>
        <w:rPr>
          <w:rStyle w:val="Style14"/>
          <w:color w:val="000000"/>
          <w:position w:val="28"/>
          <w:sz w:val="18"/>
          <w:sz w:val="28"/>
          <w:szCs w:val="28"/>
        </w:rPr>
        <w:t>3</w:t>
      </w:r>
      <w:r>
        <w:rPr>
          <w:rStyle w:val="Style14"/>
          <w:color w:val="000000"/>
          <w:sz w:val="28"/>
          <w:szCs w:val="28"/>
        </w:rPr>
        <w:t>/добу;</w:t>
      </w:r>
    </w:p>
    <w:p>
      <w:pPr>
        <w:pStyle w:val="Style26"/>
        <w:ind w:left="0" w:right="0" w:firstLine="709"/>
        <w:jc w:val="both"/>
        <w:rPr/>
      </w:pPr>
      <w:r>
        <w:rPr>
          <w:rStyle w:val="Style14"/>
          <w:color w:val="000000"/>
          <w:sz w:val="28"/>
          <w:szCs w:val="28"/>
          <w:lang w:val="en-US"/>
        </w:rPr>
        <w:t>C</w:t>
      </w:r>
      <w:r>
        <w:rPr>
          <w:rStyle w:val="Style14"/>
          <w:color w:val="000000"/>
          <w:position w:val="-27"/>
          <w:sz w:val="18"/>
          <w:sz w:val="28"/>
          <w:szCs w:val="28"/>
          <w:lang w:val="en-US"/>
        </w:rPr>
        <w:t>j</w:t>
      </w:r>
      <w:r>
        <w:rPr>
          <w:rStyle w:val="Style14"/>
          <w:color w:val="000000"/>
          <w:position w:val="28"/>
          <w:sz w:val="18"/>
          <w:sz w:val="28"/>
          <w:szCs w:val="28"/>
          <w:lang w:val="en-US"/>
        </w:rPr>
        <w:t>gp</w:t>
      </w:r>
      <w:r>
        <w:rPr>
          <w:rStyle w:val="Style14"/>
          <w:color w:val="000000"/>
          <w:sz w:val="28"/>
          <w:szCs w:val="28"/>
          <w:lang w:val="en-US"/>
        </w:rPr>
        <w:t xml:space="preserve"> </w:t>
      </w:r>
      <w:r>
        <w:rPr>
          <w:rStyle w:val="Style14"/>
          <w:color w:val="000000"/>
          <w:sz w:val="28"/>
          <w:szCs w:val="28"/>
        </w:rPr>
        <w:t>- концентрація j-ої забруднюючої речовини в господарсько-побутових стічних водах (г/м</w:t>
      </w:r>
      <w:r>
        <w:rPr>
          <w:rStyle w:val="Style14"/>
          <w:color w:val="000000"/>
          <w:position w:val="28"/>
          <w:sz w:val="18"/>
          <w:sz w:val="28"/>
          <w:szCs w:val="28"/>
        </w:rPr>
        <w:t>3</w:t>
      </w:r>
      <w:r>
        <w:rPr>
          <w:rStyle w:val="Style14"/>
          <w:color w:val="000000"/>
          <w:sz w:val="28"/>
          <w:szCs w:val="28"/>
        </w:rPr>
        <w:t>);</w:t>
      </w:r>
    </w:p>
    <w:p>
      <w:pPr>
        <w:pStyle w:val="Style26"/>
        <w:ind w:left="0" w:right="0" w:firstLine="709"/>
        <w:jc w:val="both"/>
        <w:rPr/>
      </w:pPr>
      <w:r>
        <w:rPr>
          <w:rStyle w:val="Style14"/>
          <w:color w:val="000000"/>
          <w:sz w:val="28"/>
          <w:szCs w:val="28"/>
          <w:lang w:val="en-US"/>
        </w:rPr>
        <w:t>K</w:t>
      </w:r>
      <w:r>
        <w:rPr>
          <w:rStyle w:val="Style14"/>
          <w:color w:val="000000"/>
          <w:position w:val="-27"/>
          <w:sz w:val="18"/>
          <w:sz w:val="28"/>
          <w:szCs w:val="28"/>
          <w:lang w:val="en-US"/>
        </w:rPr>
        <w:t>j</w:t>
      </w:r>
      <w:r>
        <w:rPr>
          <w:rStyle w:val="Style14"/>
          <w:color w:val="000000"/>
          <w:sz w:val="28"/>
          <w:szCs w:val="28"/>
        </w:rPr>
        <w:t xml:space="preserve"> - коефіцієнт ефективності видалення j-ої забруднюючої речовини на КОС виробника. Значення коефіцієнта Kj приймають згідно з фактичними даними для конкретних очисних споруд, а за їх відсутності – за додатком 5 до цих Правил.</w:t>
      </w:r>
    </w:p>
    <w:p>
      <w:pPr>
        <w:pStyle w:val="Style22"/>
        <w:widowControl/>
        <w:spacing w:before="0" w:after="0"/>
        <w:ind w:left="0" w:right="0" w:firstLine="709"/>
        <w:jc w:val="both"/>
        <w:rPr>
          <w:color w:val="000000"/>
          <w:sz w:val="28"/>
          <w:szCs w:val="28"/>
        </w:rPr>
      </w:pPr>
      <w:bookmarkStart w:id="62" w:name="n117"/>
      <w:bookmarkEnd w:id="62"/>
      <w:r>
        <w:rPr>
          <w:color w:val="000000"/>
          <w:sz w:val="28"/>
          <w:szCs w:val="28"/>
        </w:rPr>
        <w:t>26. ДК j-ої забруднюючої речовини за допустимим вмістом важких металів в осадах стічних вод на рівні дозволеного для осадів, що можуть використовуватися як органічні добрива, розраховують за формулою</w:t>
      </w:r>
    </w:p>
    <w:p>
      <w:pPr>
        <w:pStyle w:val="Style22"/>
        <w:widowControl/>
        <w:spacing w:before="0" w:after="0"/>
        <w:ind w:left="0" w:right="0" w:firstLine="709"/>
        <w:jc w:val="both"/>
        <w:rPr/>
      </w:pPr>
      <w:bookmarkStart w:id="63" w:name="n118"/>
      <w:bookmarkEnd w:id="63"/>
      <w:r>
        <w:rPr>
          <w:rStyle w:val="Style14"/>
          <w:color w:val="000000"/>
          <w:sz w:val="28"/>
          <w:szCs w:val="28"/>
        </w:rPr>
        <w:t>Дк</w:t>
      </w:r>
      <w:r>
        <w:rPr>
          <w:rStyle w:val="Style14"/>
          <w:color w:val="000000"/>
          <w:position w:val="-27"/>
          <w:sz w:val="18"/>
          <w:sz w:val="28"/>
          <w:szCs w:val="28"/>
        </w:rPr>
        <w:t>jvm</w:t>
      </w:r>
      <w:r>
        <w:rPr>
          <w:rStyle w:val="Style14"/>
          <w:color w:val="000000"/>
          <w:sz w:val="28"/>
          <w:szCs w:val="28"/>
        </w:rPr>
        <w:t xml:space="preserve"> = ((C</w:t>
      </w:r>
      <w:r>
        <w:rPr>
          <w:rStyle w:val="Style14"/>
          <w:color w:val="000000"/>
          <w:position w:val="-27"/>
          <w:sz w:val="18"/>
          <w:sz w:val="28"/>
          <w:szCs w:val="28"/>
        </w:rPr>
        <w:t>jvm</w:t>
      </w:r>
      <w:r>
        <w:rPr>
          <w:rStyle w:val="Style14"/>
          <w:color w:val="000000"/>
          <w:sz w:val="28"/>
          <w:szCs w:val="28"/>
        </w:rPr>
        <w:t xml:space="preserve"> – C</w:t>
      </w:r>
      <w:r>
        <w:rPr>
          <w:rStyle w:val="Style14"/>
          <w:color w:val="000000"/>
          <w:position w:val="-27"/>
          <w:sz w:val="18"/>
          <w:sz w:val="28"/>
          <w:szCs w:val="28"/>
        </w:rPr>
        <w:t>jvm</w:t>
      </w:r>
      <w:r>
        <w:rPr>
          <w:rStyle w:val="Style14"/>
          <w:color w:val="000000"/>
          <w:position w:val="28"/>
          <w:sz w:val="18"/>
          <w:sz w:val="28"/>
          <w:szCs w:val="28"/>
        </w:rPr>
        <w:t>gp</w:t>
      </w:r>
      <w:r>
        <w:rPr>
          <w:rStyle w:val="Style14"/>
          <w:color w:val="000000"/>
          <w:sz w:val="28"/>
          <w:szCs w:val="28"/>
        </w:rPr>
        <w:t xml:space="preserve">) * Q) / </w:t>
      </w:r>
      <w:r>
        <w:rPr>
          <w:rStyle w:val="Style14"/>
          <w:rFonts w:eastAsia="Times New Roman" w:cs="Times New Roman"/>
          <w:color w:val="000000"/>
          <w:sz w:val="28"/>
          <w:szCs w:val="28"/>
        </w:rPr>
        <w:t>∑</w:t>
      </w:r>
      <w:r>
        <w:rPr>
          <w:rStyle w:val="Style14"/>
          <w:color w:val="000000"/>
          <w:position w:val="28"/>
          <w:sz w:val="18"/>
          <w:sz w:val="28"/>
          <w:szCs w:val="28"/>
        </w:rPr>
        <w:t>n</w:t>
      </w:r>
      <w:r>
        <w:rPr>
          <w:rStyle w:val="Style14"/>
          <w:color w:val="000000"/>
          <w:position w:val="-27"/>
          <w:sz w:val="18"/>
          <w:sz w:val="28"/>
          <w:szCs w:val="28"/>
        </w:rPr>
        <w:t>i=1</w:t>
      </w:r>
      <w:r>
        <w:rPr>
          <w:rStyle w:val="Style14"/>
          <w:color w:val="000000"/>
          <w:sz w:val="28"/>
          <w:szCs w:val="28"/>
        </w:rPr>
        <w:t>q</w:t>
      </w:r>
      <w:r>
        <w:rPr>
          <w:rStyle w:val="Style14"/>
          <w:color w:val="000000"/>
          <w:position w:val="-27"/>
          <w:sz w:val="18"/>
          <w:sz w:val="28"/>
          <w:szCs w:val="28"/>
        </w:rPr>
        <w:t>i</w:t>
      </w:r>
      <w:r>
        <w:rPr>
          <w:rStyle w:val="Style14"/>
          <w:color w:val="000000"/>
          <w:sz w:val="28"/>
          <w:szCs w:val="28"/>
        </w:rPr>
        <w:t>) + C</w:t>
      </w:r>
      <w:r>
        <w:rPr>
          <w:rStyle w:val="Style14"/>
          <w:color w:val="000000"/>
          <w:position w:val="-27"/>
          <w:sz w:val="18"/>
          <w:sz w:val="28"/>
          <w:szCs w:val="28"/>
        </w:rPr>
        <w:t>jvm</w:t>
      </w:r>
      <w:r>
        <w:rPr>
          <w:rStyle w:val="Style14"/>
          <w:color w:val="000000"/>
          <w:position w:val="28"/>
          <w:sz w:val="18"/>
          <w:sz w:val="28"/>
          <w:szCs w:val="28"/>
        </w:rPr>
        <w:t>gp</w:t>
      </w:r>
      <w:r>
        <w:rPr>
          <w:rStyle w:val="Style14"/>
          <w:color w:val="000000"/>
          <w:sz w:val="28"/>
          <w:szCs w:val="28"/>
        </w:rPr>
        <w:t xml:space="preserve"> (г/м</w:t>
      </w:r>
      <w:r>
        <w:rPr>
          <w:rStyle w:val="Style14"/>
          <w:color w:val="000000"/>
          <w:position w:val="28"/>
          <w:sz w:val="18"/>
          <w:sz w:val="28"/>
          <w:szCs w:val="28"/>
        </w:rPr>
        <w:t>3</w:t>
      </w:r>
      <w:r>
        <w:rPr>
          <w:rStyle w:val="Style14"/>
          <w:color w:val="000000"/>
          <w:sz w:val="28"/>
          <w:szCs w:val="28"/>
        </w:rPr>
        <w:t>)</w:t>
      </w:r>
    </w:p>
    <w:p>
      <w:pPr>
        <w:pStyle w:val="Normal"/>
        <w:ind w:left="0" w:right="0" w:firstLine="709"/>
        <w:jc w:val="both"/>
        <w:rPr/>
      </w:pPr>
      <w:bookmarkStart w:id="64" w:name="n119"/>
      <w:bookmarkEnd w:id="64"/>
      <w:r>
        <w:rPr>
          <w:rStyle w:val="Style14"/>
          <w:color w:val="000000"/>
          <w:sz w:val="28"/>
          <w:szCs w:val="28"/>
        </w:rPr>
        <w:t>де Дк</w:t>
      </w:r>
      <w:r>
        <w:rPr>
          <w:rStyle w:val="Style14"/>
          <w:color w:val="000000"/>
          <w:position w:val="-27"/>
          <w:sz w:val="18"/>
          <w:sz w:val="28"/>
          <w:szCs w:val="28"/>
        </w:rPr>
        <w:t>jvm</w:t>
      </w:r>
      <w:r>
        <w:rPr>
          <w:rStyle w:val="Style14"/>
          <w:color w:val="000000"/>
          <w:sz w:val="28"/>
          <w:szCs w:val="28"/>
        </w:rPr>
        <w:t xml:space="preserve"> - ДК j-ої забруднюючої речовини в стічних водах за допустимим вмістом важких металів в осадах стічних вод;</w:t>
      </w:r>
    </w:p>
    <w:p>
      <w:pPr>
        <w:pStyle w:val="Style26"/>
        <w:ind w:left="0" w:right="0" w:firstLine="709"/>
        <w:jc w:val="both"/>
        <w:rPr/>
      </w:pPr>
      <w:r>
        <w:rPr>
          <w:rStyle w:val="Style14"/>
          <w:color w:val="000000"/>
          <w:sz w:val="28"/>
          <w:szCs w:val="28"/>
        </w:rPr>
        <w:t>C</w:t>
      </w:r>
      <w:r>
        <w:rPr>
          <w:rStyle w:val="Style14"/>
          <w:color w:val="000000"/>
          <w:position w:val="-27"/>
          <w:sz w:val="18"/>
          <w:sz w:val="28"/>
          <w:szCs w:val="28"/>
        </w:rPr>
        <w:t>jvm</w:t>
      </w:r>
      <w:r>
        <w:rPr>
          <w:rStyle w:val="Style14"/>
          <w:color w:val="000000"/>
          <w:sz w:val="28"/>
          <w:szCs w:val="28"/>
        </w:rPr>
        <w:t xml:space="preserve"> - допустима концентрація j-ого важкого металу на вході КОС - розраховується за формулою</w:t>
      </w:r>
    </w:p>
    <w:p>
      <w:pPr>
        <w:pStyle w:val="Style22"/>
        <w:widowControl/>
        <w:spacing w:before="0" w:after="0"/>
        <w:ind w:left="0" w:right="0" w:firstLine="709"/>
        <w:jc w:val="both"/>
        <w:rPr/>
      </w:pPr>
      <w:bookmarkStart w:id="65" w:name="n120"/>
      <w:bookmarkEnd w:id="65"/>
      <w:r>
        <w:rPr>
          <w:rStyle w:val="Style14"/>
          <w:color w:val="000000"/>
          <w:sz w:val="28"/>
          <w:szCs w:val="28"/>
        </w:rPr>
        <w:t>C</w:t>
      </w:r>
      <w:r>
        <w:rPr>
          <w:rStyle w:val="Style14"/>
          <w:color w:val="000000"/>
          <w:position w:val="-27"/>
          <w:sz w:val="18"/>
          <w:sz w:val="28"/>
          <w:szCs w:val="28"/>
        </w:rPr>
        <w:t>jvm</w:t>
      </w:r>
      <w:r>
        <w:rPr>
          <w:rStyle w:val="Style14"/>
          <w:color w:val="000000"/>
          <w:sz w:val="28"/>
          <w:szCs w:val="28"/>
        </w:rPr>
        <w:t xml:space="preserve"> = ((q</w:t>
      </w:r>
      <w:r>
        <w:rPr>
          <w:rStyle w:val="Style14"/>
          <w:color w:val="000000"/>
          <w:position w:val="-27"/>
          <w:sz w:val="18"/>
          <w:sz w:val="28"/>
          <w:szCs w:val="28"/>
        </w:rPr>
        <w:t>1</w:t>
      </w:r>
      <w:r>
        <w:rPr>
          <w:rStyle w:val="Style14"/>
          <w:color w:val="000000"/>
          <w:sz w:val="28"/>
          <w:szCs w:val="28"/>
        </w:rPr>
        <w:t xml:space="preserve"> * K</w:t>
      </w:r>
      <w:r>
        <w:rPr>
          <w:rStyle w:val="Style14"/>
          <w:color w:val="000000"/>
          <w:position w:val="-27"/>
          <w:sz w:val="18"/>
          <w:sz w:val="28"/>
          <w:szCs w:val="28"/>
        </w:rPr>
        <w:t>1</w:t>
      </w:r>
      <w:r>
        <w:rPr>
          <w:rStyle w:val="Style14"/>
          <w:color w:val="000000"/>
          <w:sz w:val="28"/>
          <w:szCs w:val="28"/>
        </w:rPr>
        <w:t xml:space="preserve"> + q</w:t>
      </w:r>
      <w:r>
        <w:rPr>
          <w:rStyle w:val="Style14"/>
          <w:color w:val="000000"/>
          <w:position w:val="-27"/>
          <w:sz w:val="18"/>
          <w:sz w:val="28"/>
          <w:szCs w:val="28"/>
        </w:rPr>
        <w:t>2</w:t>
      </w:r>
      <w:r>
        <w:rPr>
          <w:rStyle w:val="Style14"/>
          <w:color w:val="000000"/>
          <w:sz w:val="28"/>
          <w:szCs w:val="28"/>
        </w:rPr>
        <w:t xml:space="preserve"> * K</w:t>
      </w:r>
      <w:r>
        <w:rPr>
          <w:rStyle w:val="Style14"/>
          <w:color w:val="000000"/>
          <w:position w:val="-27"/>
          <w:sz w:val="18"/>
          <w:sz w:val="28"/>
          <w:szCs w:val="28"/>
        </w:rPr>
        <w:t>2</w:t>
      </w:r>
      <w:r>
        <w:rPr>
          <w:rStyle w:val="Style14"/>
          <w:color w:val="000000"/>
          <w:sz w:val="28"/>
          <w:szCs w:val="28"/>
        </w:rPr>
        <w:t>) * C</w:t>
      </w:r>
      <w:r>
        <w:rPr>
          <w:rStyle w:val="Style14"/>
          <w:color w:val="000000"/>
          <w:position w:val="-27"/>
          <w:sz w:val="18"/>
          <w:sz w:val="28"/>
          <w:szCs w:val="28"/>
        </w:rPr>
        <w:t>jvm</w:t>
      </w:r>
      <w:r>
        <w:rPr>
          <w:rStyle w:val="Style14"/>
          <w:color w:val="000000"/>
          <w:position w:val="28"/>
          <w:sz w:val="18"/>
          <w:sz w:val="28"/>
          <w:szCs w:val="28"/>
        </w:rPr>
        <w:t>oc</w:t>
      </w:r>
      <w:r>
        <w:rPr>
          <w:rStyle w:val="Style14"/>
          <w:color w:val="000000"/>
          <w:sz w:val="28"/>
          <w:szCs w:val="28"/>
        </w:rPr>
        <w:t>) / K</w:t>
      </w:r>
      <w:r>
        <w:rPr>
          <w:rStyle w:val="Style14"/>
          <w:color w:val="000000"/>
          <w:position w:val="-27"/>
          <w:sz w:val="18"/>
          <w:sz w:val="28"/>
          <w:szCs w:val="28"/>
        </w:rPr>
        <w:t>j</w:t>
      </w:r>
      <w:r>
        <w:rPr>
          <w:rStyle w:val="Style14"/>
          <w:color w:val="000000"/>
          <w:sz w:val="28"/>
          <w:szCs w:val="28"/>
        </w:rPr>
        <w:t xml:space="preserve"> * Q (г/м</w:t>
      </w:r>
      <w:r>
        <w:rPr>
          <w:rStyle w:val="Style14"/>
          <w:color w:val="000000"/>
          <w:position w:val="28"/>
          <w:sz w:val="18"/>
          <w:sz w:val="28"/>
          <w:szCs w:val="28"/>
        </w:rPr>
        <w:t>3</w:t>
      </w:r>
      <w:r>
        <w:rPr>
          <w:rStyle w:val="Style14"/>
          <w:color w:val="000000"/>
          <w:sz w:val="28"/>
          <w:szCs w:val="28"/>
        </w:rPr>
        <w:t>)</w:t>
      </w:r>
    </w:p>
    <w:p>
      <w:pPr>
        <w:pStyle w:val="Style26"/>
        <w:ind w:left="0" w:right="0" w:firstLine="709"/>
        <w:jc w:val="both"/>
        <w:rPr/>
      </w:pPr>
      <w:bookmarkStart w:id="66" w:name="n121"/>
      <w:bookmarkEnd w:id="66"/>
      <w:r>
        <w:rPr>
          <w:rStyle w:val="Style14"/>
          <w:color w:val="000000"/>
          <w:sz w:val="28"/>
          <w:szCs w:val="28"/>
        </w:rPr>
        <w:t>q</w:t>
      </w:r>
      <w:r>
        <w:rPr>
          <w:rStyle w:val="Style14"/>
          <w:color w:val="000000"/>
          <w:position w:val="-27"/>
          <w:sz w:val="18"/>
          <w:sz w:val="28"/>
          <w:szCs w:val="28"/>
        </w:rPr>
        <w:t>1</w:t>
      </w:r>
      <w:r>
        <w:rPr>
          <w:rStyle w:val="Style14"/>
          <w:color w:val="000000"/>
          <w:sz w:val="28"/>
          <w:szCs w:val="28"/>
        </w:rPr>
        <w:t xml:space="preserve"> - кількість сирого осаду, що затримується у первинних відстійниках, т/добу;</w:t>
      </w:r>
    </w:p>
    <w:p>
      <w:pPr>
        <w:pStyle w:val="Style26"/>
        <w:ind w:left="0" w:right="0" w:firstLine="709"/>
        <w:jc w:val="both"/>
        <w:rPr/>
      </w:pPr>
      <w:r>
        <w:rPr>
          <w:rStyle w:val="Style14"/>
          <w:color w:val="000000"/>
          <w:sz w:val="28"/>
          <w:szCs w:val="28"/>
        </w:rPr>
        <w:t>q</w:t>
      </w:r>
      <w:r>
        <w:rPr>
          <w:rStyle w:val="Style14"/>
          <w:color w:val="000000"/>
          <w:position w:val="-27"/>
          <w:sz w:val="18"/>
          <w:sz w:val="28"/>
          <w:szCs w:val="28"/>
        </w:rPr>
        <w:t>2</w:t>
      </w:r>
      <w:r>
        <w:rPr>
          <w:rStyle w:val="Style14"/>
          <w:color w:val="000000"/>
          <w:sz w:val="28"/>
          <w:szCs w:val="28"/>
        </w:rPr>
        <w:t xml:space="preserve"> - кількість активного мулу, що затримується у вторинних відстійниках, т/добу;</w:t>
      </w:r>
    </w:p>
    <w:p>
      <w:pPr>
        <w:pStyle w:val="Style26"/>
        <w:ind w:left="0" w:right="0" w:firstLine="709"/>
        <w:jc w:val="both"/>
        <w:rPr/>
      </w:pPr>
      <w:r>
        <w:rPr>
          <w:rStyle w:val="Style14"/>
          <w:color w:val="000000"/>
          <w:sz w:val="28"/>
          <w:szCs w:val="28"/>
          <w:lang w:val="en-US"/>
        </w:rPr>
        <w:t>K</w:t>
      </w:r>
      <w:r>
        <w:rPr>
          <w:rStyle w:val="Style14"/>
          <w:color w:val="000000"/>
          <w:position w:val="-27"/>
          <w:sz w:val="18"/>
          <w:sz w:val="28"/>
          <w:szCs w:val="28"/>
          <w:lang w:val="en-US"/>
        </w:rPr>
        <w:t>1</w:t>
      </w:r>
      <w:r>
        <w:rPr>
          <w:rStyle w:val="Style14"/>
          <w:color w:val="000000"/>
          <w:sz w:val="28"/>
          <w:szCs w:val="28"/>
        </w:rPr>
        <w:t xml:space="preserve"> - коефіцієнт перерахунку сирого осаду первинних відстійників на суху речовину,</w:t>
      </w:r>
    </w:p>
    <w:p>
      <w:pPr>
        <w:pStyle w:val="Style26"/>
        <w:ind w:left="0" w:right="0" w:firstLine="709"/>
        <w:jc w:val="both"/>
        <w:rPr/>
      </w:pPr>
      <w:r>
        <w:rPr>
          <w:rStyle w:val="Style14"/>
          <w:color w:val="000000"/>
          <w:sz w:val="28"/>
          <w:szCs w:val="28"/>
          <w:lang w:val="en-US"/>
        </w:rPr>
        <w:t>K</w:t>
      </w:r>
      <w:r>
        <w:rPr>
          <w:rStyle w:val="Style14"/>
          <w:color w:val="000000"/>
          <w:position w:val="-27"/>
          <w:sz w:val="18"/>
          <w:sz w:val="28"/>
          <w:szCs w:val="28"/>
          <w:lang w:val="en-US"/>
        </w:rPr>
        <w:t>1</w:t>
      </w:r>
      <w:r>
        <w:rPr>
          <w:rStyle w:val="Style14"/>
          <w:color w:val="000000"/>
          <w:sz w:val="28"/>
          <w:szCs w:val="28"/>
          <w:lang w:val="en-US"/>
        </w:rPr>
        <w:t xml:space="preserve"> = (100 – W</w:t>
      </w:r>
      <w:r>
        <w:rPr>
          <w:rStyle w:val="Style14"/>
          <w:color w:val="000000"/>
          <w:position w:val="-27"/>
          <w:sz w:val="18"/>
          <w:sz w:val="28"/>
          <w:szCs w:val="28"/>
          <w:lang w:val="en-US"/>
        </w:rPr>
        <w:t>1</w:t>
      </w:r>
      <w:r>
        <w:rPr>
          <w:rStyle w:val="Style14"/>
          <w:color w:val="000000"/>
          <w:sz w:val="28"/>
          <w:szCs w:val="28"/>
          <w:lang w:val="en-US"/>
        </w:rPr>
        <w:t>)</w:t>
      </w:r>
      <w:r>
        <w:rPr>
          <w:rStyle w:val="Style14"/>
          <w:color w:val="000000"/>
          <w:sz w:val="28"/>
          <w:szCs w:val="28"/>
        </w:rPr>
        <w:t xml:space="preserve">/ </w:t>
      </w:r>
      <w:r>
        <w:rPr>
          <w:rStyle w:val="Style14"/>
          <w:color w:val="000000"/>
          <w:sz w:val="28"/>
          <w:szCs w:val="28"/>
          <w:lang w:val="en-US"/>
        </w:rPr>
        <w:t>100</w:t>
      </w:r>
    </w:p>
    <w:p>
      <w:pPr>
        <w:pStyle w:val="Style22"/>
        <w:widowControl/>
        <w:spacing w:before="0" w:after="0"/>
        <w:ind w:left="0" w:right="0" w:firstLine="709"/>
        <w:jc w:val="both"/>
        <w:rPr/>
      </w:pPr>
      <w:bookmarkStart w:id="67" w:name="n122"/>
      <w:bookmarkEnd w:id="67"/>
      <w:r>
        <w:rPr>
          <w:rStyle w:val="Style14"/>
          <w:color w:val="000000"/>
          <w:sz w:val="28"/>
          <w:szCs w:val="28"/>
        </w:rPr>
        <w:t xml:space="preserve">де </w:t>
      </w:r>
      <w:r>
        <w:rPr>
          <w:rStyle w:val="Style14"/>
          <w:color w:val="000000"/>
          <w:sz w:val="28"/>
          <w:szCs w:val="28"/>
          <w:lang w:val="en-US"/>
        </w:rPr>
        <w:t>W</w:t>
      </w:r>
      <w:r>
        <w:rPr>
          <w:rStyle w:val="Style14"/>
          <w:color w:val="000000"/>
          <w:position w:val="-27"/>
          <w:sz w:val="18"/>
          <w:sz w:val="28"/>
          <w:szCs w:val="28"/>
          <w:lang w:val="en-US"/>
        </w:rPr>
        <w:t>1</w:t>
      </w:r>
      <w:bookmarkStart w:id="68" w:name="n123"/>
      <w:bookmarkEnd w:id="68"/>
      <w:r>
        <w:rPr>
          <w:rStyle w:val="Style14"/>
          <w:color w:val="000000"/>
          <w:sz w:val="28"/>
          <w:szCs w:val="28"/>
        </w:rPr>
        <w:t xml:space="preserve"> - вологість сирого осаду, %;</w:t>
      </w:r>
    </w:p>
    <w:p>
      <w:pPr>
        <w:pStyle w:val="Style26"/>
        <w:ind w:left="0" w:right="0" w:firstLine="709"/>
        <w:jc w:val="both"/>
        <w:rPr/>
      </w:pPr>
      <w:r>
        <w:rPr>
          <w:rStyle w:val="Style14"/>
          <w:color w:val="000000"/>
          <w:sz w:val="28"/>
          <w:szCs w:val="28"/>
          <w:lang w:val="en-US"/>
        </w:rPr>
        <w:t>K</w:t>
      </w:r>
      <w:r>
        <w:rPr>
          <w:rStyle w:val="Style14"/>
          <w:color w:val="000000"/>
          <w:position w:val="-27"/>
          <w:sz w:val="18"/>
          <w:sz w:val="28"/>
          <w:szCs w:val="28"/>
          <w:lang w:val="en-US"/>
        </w:rPr>
        <w:t>2</w:t>
      </w:r>
      <w:r>
        <w:rPr>
          <w:rStyle w:val="Style14"/>
          <w:color w:val="000000"/>
          <w:sz w:val="28"/>
          <w:szCs w:val="28"/>
        </w:rPr>
        <w:t xml:space="preserve"> - коефіцієнт перерахунку надлишкового активного мулу вторинних відстійників на суху речовину,</w:t>
      </w:r>
    </w:p>
    <w:p>
      <w:pPr>
        <w:pStyle w:val="Style26"/>
        <w:ind w:left="0" w:right="0" w:firstLine="709"/>
        <w:jc w:val="both"/>
        <w:rPr/>
      </w:pPr>
      <w:r>
        <w:rPr>
          <w:rStyle w:val="Style14"/>
          <w:color w:val="000000"/>
          <w:sz w:val="28"/>
          <w:szCs w:val="28"/>
          <w:lang w:val="en-US"/>
        </w:rPr>
        <w:t>K</w:t>
      </w:r>
      <w:r>
        <w:rPr>
          <w:rStyle w:val="Style14"/>
          <w:color w:val="000000"/>
          <w:position w:val="-27"/>
          <w:sz w:val="18"/>
          <w:sz w:val="28"/>
          <w:szCs w:val="28"/>
          <w:lang w:val="en-US"/>
        </w:rPr>
        <w:t>2</w:t>
      </w:r>
      <w:r>
        <w:rPr>
          <w:rStyle w:val="Style14"/>
          <w:color w:val="000000"/>
          <w:sz w:val="28"/>
          <w:szCs w:val="28"/>
          <w:lang w:val="en-US"/>
        </w:rPr>
        <w:t xml:space="preserve"> = (100 – W</w:t>
      </w:r>
      <w:r>
        <w:rPr>
          <w:rStyle w:val="Style14"/>
          <w:color w:val="000000"/>
          <w:position w:val="-27"/>
          <w:sz w:val="18"/>
          <w:sz w:val="28"/>
          <w:szCs w:val="28"/>
          <w:lang w:val="en-US"/>
        </w:rPr>
        <w:t>2</w:t>
      </w:r>
      <w:r>
        <w:rPr>
          <w:rStyle w:val="Style14"/>
          <w:color w:val="000000"/>
          <w:sz w:val="28"/>
          <w:szCs w:val="28"/>
          <w:lang w:val="en-US"/>
        </w:rPr>
        <w:t>)</w:t>
      </w:r>
      <w:r>
        <w:rPr>
          <w:rStyle w:val="Style14"/>
          <w:color w:val="000000"/>
          <w:sz w:val="28"/>
          <w:szCs w:val="28"/>
        </w:rPr>
        <w:t xml:space="preserve"> / </w:t>
      </w:r>
      <w:r>
        <w:rPr>
          <w:rStyle w:val="Style14"/>
          <w:color w:val="000000"/>
          <w:sz w:val="28"/>
          <w:szCs w:val="28"/>
          <w:lang w:val="en-US"/>
        </w:rPr>
        <w:t>100</w:t>
      </w:r>
    </w:p>
    <w:p>
      <w:pPr>
        <w:pStyle w:val="Style26"/>
        <w:ind w:left="0" w:right="0" w:firstLine="709"/>
        <w:jc w:val="both"/>
        <w:rPr/>
      </w:pPr>
      <w:r>
        <w:rPr>
          <w:rStyle w:val="Style14"/>
          <w:color w:val="000000"/>
          <w:sz w:val="28"/>
          <w:szCs w:val="28"/>
        </w:rPr>
        <w:t xml:space="preserve">де </w:t>
      </w:r>
      <w:r>
        <w:rPr>
          <w:rStyle w:val="Style14"/>
          <w:color w:val="000000"/>
          <w:sz w:val="28"/>
          <w:szCs w:val="28"/>
          <w:lang w:val="en-US"/>
        </w:rPr>
        <w:t>W</w:t>
      </w:r>
      <w:r>
        <w:rPr>
          <w:rStyle w:val="Style14"/>
          <w:color w:val="000000"/>
          <w:position w:val="-27"/>
          <w:sz w:val="18"/>
          <w:sz w:val="28"/>
          <w:szCs w:val="28"/>
          <w:lang w:val="en-US"/>
        </w:rPr>
        <w:t>2</w:t>
      </w:r>
      <w:r>
        <w:rPr>
          <w:rStyle w:val="Style14"/>
          <w:color w:val="000000"/>
          <w:sz w:val="28"/>
          <w:szCs w:val="28"/>
        </w:rPr>
        <w:t xml:space="preserve"> - вологість надлишкового активного мулу, %;</w:t>
      </w:r>
    </w:p>
    <w:p>
      <w:pPr>
        <w:pStyle w:val="Style26"/>
        <w:ind w:left="0" w:right="0" w:firstLine="709"/>
        <w:jc w:val="both"/>
        <w:rPr/>
      </w:pPr>
      <w:r>
        <w:rPr>
          <w:rStyle w:val="Style14"/>
          <w:color w:val="000000"/>
          <w:sz w:val="28"/>
          <w:szCs w:val="28"/>
          <w:lang w:val="en-US"/>
        </w:rPr>
        <w:t>C</w:t>
      </w:r>
      <w:r>
        <w:rPr>
          <w:rStyle w:val="Style14"/>
          <w:color w:val="000000"/>
          <w:position w:val="-27"/>
          <w:sz w:val="18"/>
          <w:sz w:val="28"/>
          <w:szCs w:val="28"/>
          <w:lang w:val="en-US"/>
        </w:rPr>
        <w:t>jvm</w:t>
      </w:r>
      <w:r>
        <w:rPr>
          <w:rStyle w:val="Style14"/>
          <w:color w:val="000000"/>
          <w:position w:val="28"/>
          <w:sz w:val="18"/>
          <w:sz w:val="28"/>
          <w:szCs w:val="28"/>
          <w:lang w:val="en-US"/>
        </w:rPr>
        <w:t>oc</w:t>
      </w:r>
      <w:r>
        <w:rPr>
          <w:rStyle w:val="Style14"/>
          <w:color w:val="000000"/>
          <w:sz w:val="28"/>
          <w:szCs w:val="28"/>
        </w:rPr>
        <w:t xml:space="preserve"> - допустимий вміст j-ого важкого металу в осадах, г/т сухої речовини. Приймається за даними додатка 3 до цих Правил;</w:t>
      </w:r>
    </w:p>
    <w:p>
      <w:pPr>
        <w:pStyle w:val="Style26"/>
        <w:ind w:left="0" w:right="0" w:firstLine="709"/>
        <w:jc w:val="both"/>
        <w:rPr/>
      </w:pPr>
      <w:r>
        <w:rPr>
          <w:rStyle w:val="Style14"/>
          <w:color w:val="000000"/>
          <w:sz w:val="28"/>
          <w:szCs w:val="28"/>
          <w:lang w:val="en-US"/>
        </w:rPr>
        <w:t>K</w:t>
      </w:r>
      <w:r>
        <w:rPr>
          <w:rStyle w:val="Style14"/>
          <w:color w:val="000000"/>
          <w:position w:val="-27"/>
          <w:sz w:val="18"/>
          <w:sz w:val="28"/>
          <w:szCs w:val="28"/>
          <w:lang w:val="en-US"/>
        </w:rPr>
        <w:t>j</w:t>
      </w:r>
      <w:r>
        <w:rPr>
          <w:rStyle w:val="Style14"/>
          <w:color w:val="000000"/>
          <w:sz w:val="28"/>
          <w:szCs w:val="28"/>
        </w:rPr>
        <w:t xml:space="preserve"> - коефіцієнт ефективності видалення j-ого важкого металу на КОС. Приймається за середніми фактичними даними експлуатації КОС, а за їх відсутності - за даними, вказаними у додатку 3 до цих Правил;</w:t>
      </w:r>
    </w:p>
    <w:p>
      <w:pPr>
        <w:pStyle w:val="Style26"/>
        <w:ind w:left="0" w:right="0" w:firstLine="709"/>
        <w:jc w:val="both"/>
        <w:rPr/>
      </w:pPr>
      <w:r>
        <w:rPr>
          <w:rStyle w:val="Style14"/>
          <w:color w:val="000000"/>
          <w:sz w:val="28"/>
          <w:szCs w:val="28"/>
          <w:lang w:val="en-US"/>
        </w:rPr>
        <w:t>Q</w:t>
      </w:r>
      <w:r>
        <w:rPr>
          <w:rStyle w:val="Style14"/>
          <w:color w:val="000000"/>
          <w:sz w:val="28"/>
          <w:szCs w:val="28"/>
        </w:rPr>
        <w:t xml:space="preserve"> - середньодобова витрата стічних вод на вході на КОС (м</w:t>
      </w:r>
      <w:r>
        <w:rPr>
          <w:rStyle w:val="Style14"/>
          <w:color w:val="000000"/>
          <w:position w:val="28"/>
          <w:sz w:val="18"/>
          <w:sz w:val="28"/>
          <w:szCs w:val="28"/>
        </w:rPr>
        <w:t>3</w:t>
      </w:r>
      <w:r>
        <w:rPr>
          <w:rStyle w:val="Style14"/>
          <w:color w:val="000000"/>
          <w:sz w:val="28"/>
          <w:szCs w:val="28"/>
        </w:rPr>
        <w:t>/добу);</w:t>
      </w:r>
    </w:p>
    <w:p>
      <w:pPr>
        <w:pStyle w:val="Style26"/>
        <w:widowControl/>
        <w:ind w:left="0" w:right="0" w:firstLine="709"/>
        <w:jc w:val="both"/>
        <w:rPr/>
      </w:pPr>
      <w:bookmarkStart w:id="69" w:name="n124"/>
      <w:bookmarkEnd w:id="69"/>
      <w:r>
        <w:rPr>
          <w:rStyle w:val="Style14"/>
          <w:rFonts w:eastAsia="Times New Roman" w:cs="Times New Roman"/>
          <w:color w:val="000000"/>
          <w:sz w:val="28"/>
          <w:szCs w:val="28"/>
          <w:lang w:val="en-US"/>
        </w:rPr>
        <w:t>∑</w:t>
      </w:r>
      <w:r>
        <w:rPr>
          <w:rStyle w:val="Style14"/>
          <w:color w:val="000000"/>
          <w:position w:val="28"/>
          <w:sz w:val="18"/>
          <w:sz w:val="28"/>
          <w:szCs w:val="28"/>
          <w:lang w:val="en-US"/>
        </w:rPr>
        <w:t>n</w:t>
      </w:r>
      <w:r>
        <w:rPr>
          <w:rStyle w:val="Style14"/>
          <w:color w:val="000000"/>
          <w:position w:val="-27"/>
          <w:sz w:val="18"/>
          <w:sz w:val="28"/>
          <w:szCs w:val="28"/>
          <w:lang w:val="en-US"/>
        </w:rPr>
        <w:t>i=1</w:t>
      </w:r>
      <w:r>
        <w:rPr>
          <w:rStyle w:val="Style14"/>
          <w:color w:val="000000"/>
          <w:sz w:val="28"/>
          <w:szCs w:val="28"/>
          <w:lang w:val="en-US"/>
        </w:rPr>
        <w:t>q</w:t>
      </w:r>
      <w:r>
        <w:rPr>
          <w:rStyle w:val="Style14"/>
          <w:color w:val="000000"/>
          <w:position w:val="-27"/>
          <w:sz w:val="18"/>
          <w:sz w:val="28"/>
          <w:szCs w:val="28"/>
          <w:lang w:val="en-US"/>
        </w:rPr>
        <w:t>i</w:t>
      </w:r>
      <w:r>
        <w:rPr>
          <w:rStyle w:val="Style14"/>
          <w:color w:val="000000"/>
          <w:sz w:val="28"/>
          <w:szCs w:val="28"/>
        </w:rPr>
        <w:t xml:space="preserve"> - середньодобова витрата стічних вод споживачів, які можуть містити це забруднення (м</w:t>
      </w:r>
      <w:r>
        <w:rPr>
          <w:rStyle w:val="Style14"/>
          <w:color w:val="000000"/>
          <w:position w:val="28"/>
          <w:sz w:val="18"/>
          <w:sz w:val="28"/>
          <w:szCs w:val="28"/>
        </w:rPr>
        <w:t>3</w:t>
      </w:r>
      <w:r>
        <w:rPr>
          <w:rStyle w:val="Style14"/>
          <w:color w:val="000000"/>
          <w:sz w:val="28"/>
          <w:szCs w:val="28"/>
        </w:rPr>
        <w:t>/добу);</w:t>
      </w:r>
    </w:p>
    <w:p>
      <w:pPr>
        <w:pStyle w:val="Style26"/>
        <w:widowControl/>
        <w:ind w:left="0" w:right="0" w:firstLine="709"/>
        <w:jc w:val="both"/>
        <w:rPr/>
      </w:pPr>
      <w:r>
        <w:rPr>
          <w:rStyle w:val="Style14"/>
          <w:color w:val="000000"/>
          <w:sz w:val="28"/>
          <w:szCs w:val="28"/>
          <w:lang w:val="en-US"/>
        </w:rPr>
        <w:t>C</w:t>
      </w:r>
      <w:r>
        <w:rPr>
          <w:rStyle w:val="Style14"/>
          <w:color w:val="000000"/>
          <w:position w:val="-27"/>
          <w:sz w:val="18"/>
          <w:sz w:val="28"/>
          <w:szCs w:val="28"/>
          <w:lang w:val="en-US"/>
        </w:rPr>
        <w:t>jvm</w:t>
      </w:r>
      <w:r>
        <w:rPr>
          <w:rStyle w:val="Style14"/>
          <w:color w:val="000000"/>
          <w:position w:val="28"/>
          <w:sz w:val="18"/>
          <w:sz w:val="28"/>
          <w:szCs w:val="28"/>
          <w:lang w:val="en-US"/>
        </w:rPr>
        <w:t>gp</w:t>
      </w:r>
      <w:r>
        <w:rPr>
          <w:rStyle w:val="Style14"/>
          <w:color w:val="000000"/>
          <w:sz w:val="28"/>
          <w:szCs w:val="28"/>
        </w:rPr>
        <w:t xml:space="preserve"> - концентрація j-ого важкого металу в господарсько-побутових стічних водах, г/м</w:t>
      </w:r>
      <w:r>
        <w:rPr>
          <w:rStyle w:val="Style14"/>
          <w:color w:val="000000"/>
          <w:position w:val="28"/>
          <w:sz w:val="18"/>
          <w:sz w:val="28"/>
          <w:szCs w:val="28"/>
          <w:lang w:val="en-US"/>
        </w:rPr>
        <w:t>3</w:t>
      </w:r>
      <w:r>
        <w:rPr>
          <w:rStyle w:val="Style14"/>
          <w:color w:val="000000"/>
          <w:sz w:val="28"/>
          <w:szCs w:val="28"/>
        </w:rPr>
        <w:t>. Приймається за середньорічним вмістом у водопровідній воді цього населеного пункту.</w:t>
      </w:r>
    </w:p>
    <w:p>
      <w:pPr>
        <w:pStyle w:val="Style26"/>
        <w:widowControl/>
        <w:ind w:left="0" w:right="0" w:firstLine="709"/>
        <w:jc w:val="both"/>
        <w:rPr>
          <w:b/>
          <w:b/>
          <w:color w:val="000000"/>
          <w:sz w:val="28"/>
          <w:szCs w:val="28"/>
        </w:rPr>
      </w:pPr>
      <w:r>
        <w:rPr>
          <w:b/>
          <w:color w:val="000000"/>
          <w:sz w:val="28"/>
          <w:szCs w:val="28"/>
        </w:rPr>
      </w:r>
    </w:p>
    <w:p>
      <w:pPr>
        <w:pStyle w:val="Style22"/>
        <w:widowControl/>
        <w:spacing w:before="0" w:after="0"/>
        <w:ind w:left="0" w:right="0" w:firstLine="709"/>
        <w:jc w:val="center"/>
        <w:rPr>
          <w:b/>
          <w:b/>
          <w:color w:val="000000"/>
          <w:sz w:val="28"/>
          <w:szCs w:val="28"/>
        </w:rPr>
      </w:pPr>
      <w:bookmarkStart w:id="70" w:name="n126"/>
      <w:bookmarkEnd w:id="70"/>
      <w:r>
        <w:rPr>
          <w:b/>
          <w:color w:val="000000"/>
          <w:sz w:val="28"/>
          <w:szCs w:val="28"/>
        </w:rPr>
        <w:t>V. Заходи впливу у разі порушення вимог щодо скиду стічних вод до систем централізованого водовідведення</w:t>
      </w:r>
    </w:p>
    <w:p>
      <w:pPr>
        <w:pStyle w:val="Style22"/>
        <w:widowControl/>
        <w:spacing w:before="0" w:after="0"/>
        <w:ind w:left="0" w:right="0" w:firstLine="709"/>
        <w:jc w:val="both"/>
        <w:rPr>
          <w:color w:val="000000"/>
          <w:sz w:val="28"/>
          <w:szCs w:val="28"/>
        </w:rPr>
      </w:pPr>
      <w:bookmarkStart w:id="71" w:name="n127"/>
      <w:bookmarkEnd w:id="71"/>
      <w:r>
        <w:rPr>
          <w:color w:val="000000"/>
          <w:sz w:val="28"/>
          <w:szCs w:val="28"/>
        </w:rPr>
        <w:t>27. Виробник та споживачі є відповідальними за дотримання вимог приймання та скиду стічних вод до систем централізованого водовідведення відповідно до чинного законодавства України.</w:t>
      </w:r>
    </w:p>
    <w:p>
      <w:pPr>
        <w:pStyle w:val="Style22"/>
        <w:widowControl/>
        <w:spacing w:before="0" w:after="0"/>
        <w:ind w:left="0" w:right="0" w:firstLine="709"/>
        <w:jc w:val="both"/>
        <w:rPr>
          <w:color w:val="000000"/>
          <w:sz w:val="28"/>
          <w:szCs w:val="28"/>
        </w:rPr>
      </w:pPr>
      <w:bookmarkStart w:id="72" w:name="n128"/>
      <w:bookmarkEnd w:id="72"/>
      <w:r>
        <w:rPr>
          <w:color w:val="000000"/>
          <w:sz w:val="28"/>
          <w:szCs w:val="28"/>
        </w:rPr>
        <w:t>28. У разі невиконання споживачами цих Правил щодо дотримання якості та режиму скиду стічних вод та при інших порушеннях цих Правил об’єкт споживача може бути відключений від системи централізованого водовідведення після письмового попередження виробником не менше ніж за п’ять діб. Таке попередження надсилається виробником рекомендованим відправленням. Дата попередження визначається від дати надіслання з врахуванням нормативних строків пересилання поштової кореспонденції.</w:t>
      </w:r>
    </w:p>
    <w:p>
      <w:pPr>
        <w:pStyle w:val="Style22"/>
        <w:widowControl/>
        <w:spacing w:before="0" w:after="0"/>
        <w:ind w:left="0" w:right="0" w:firstLine="709"/>
        <w:jc w:val="both"/>
        <w:rPr>
          <w:color w:val="000000"/>
          <w:sz w:val="28"/>
          <w:szCs w:val="28"/>
        </w:rPr>
      </w:pPr>
      <w:bookmarkStart w:id="73" w:name="n129"/>
      <w:bookmarkEnd w:id="73"/>
      <w:r>
        <w:rPr>
          <w:color w:val="000000"/>
          <w:sz w:val="28"/>
          <w:szCs w:val="28"/>
        </w:rPr>
        <w:t>Споживачі, які здійснюють виробничі процеси, визначені у додатку 1 до цих Правил, та уклали з виробником договір про приймання понаднормативно забруднених стічних вод, що передбачає будівництво локальних очисних споруд, не можуть бути відключені від системи централізованого водовідведення з підстав відсутності у них очисних споруд протягом дії договору за умови, що ці споживачі добросовісно та своєчасно виконують умови такого договору.</w:t>
      </w:r>
    </w:p>
    <w:p>
      <w:pPr>
        <w:pStyle w:val="Style22"/>
        <w:widowControl/>
        <w:spacing w:before="0" w:after="0"/>
        <w:ind w:left="0" w:right="0" w:firstLine="709"/>
        <w:jc w:val="both"/>
        <w:rPr>
          <w:color w:val="000000"/>
          <w:sz w:val="28"/>
          <w:szCs w:val="28"/>
        </w:rPr>
      </w:pPr>
      <w:r>
        <w:rPr>
          <w:color w:val="000000"/>
          <w:sz w:val="28"/>
          <w:szCs w:val="28"/>
        </w:rPr>
        <w:t>29. У разі стягнення з виробника грошових сум за понадлімітні обсяги скидів у водні об’єкти або інші порушення природоохоронного законодавства він може вимагати від споживачів, з вини яких це сталося, відшкодування цих сум у регресному порядку.</w:t>
      </w:r>
    </w:p>
    <w:p>
      <w:pPr>
        <w:pStyle w:val="Style22"/>
        <w:widowControl/>
        <w:spacing w:before="0" w:after="0"/>
        <w:ind w:left="0" w:right="0" w:firstLine="709"/>
        <w:jc w:val="both"/>
        <w:rPr>
          <w:color w:val="000000"/>
          <w:sz w:val="28"/>
          <w:szCs w:val="28"/>
        </w:rPr>
      </w:pPr>
      <w:r>
        <w:rPr>
          <w:color w:val="000000"/>
          <w:sz w:val="28"/>
          <w:szCs w:val="28"/>
        </w:rPr>
        <w:t>30. У разі необхідності перекладання аварійних або заміни зруйнованих мереж і споруд системи централізованого водовідведення внаслідок агресивного впливу стічних вод споживача кошторисну вартість цих робіт (загальні капітальні вкладення) Кzag (тис. грн) розподіляють між споживачами, які скидали стічні води з порушенням цих Правил і з вини яких сталося відповідне руйнування, згідно з формулою</w:t>
      </w:r>
    </w:p>
    <w:p>
      <w:pPr>
        <w:pStyle w:val="Style22"/>
        <w:widowControl/>
        <w:spacing w:before="0" w:after="0"/>
        <w:ind w:left="0" w:right="0" w:firstLine="709"/>
        <w:jc w:val="both"/>
        <w:rPr/>
      </w:pPr>
      <w:bookmarkStart w:id="74" w:name="n132"/>
      <w:bookmarkEnd w:id="74"/>
      <w:r>
        <w:rPr>
          <w:rStyle w:val="Style14"/>
          <w:color w:val="000000"/>
          <w:sz w:val="28"/>
          <w:szCs w:val="28"/>
          <w:lang w:val="en-US"/>
        </w:rPr>
        <w:t>K</w:t>
      </w:r>
      <w:r>
        <w:rPr>
          <w:rStyle w:val="Style14"/>
          <w:color w:val="000000"/>
          <w:position w:val="-27"/>
          <w:sz w:val="18"/>
          <w:sz w:val="28"/>
          <w:szCs w:val="28"/>
          <w:lang w:val="en-US"/>
        </w:rPr>
        <w:t>i</w:t>
      </w:r>
      <w:r>
        <w:rPr>
          <w:rStyle w:val="Style14"/>
          <w:color w:val="000000"/>
          <w:sz w:val="28"/>
          <w:szCs w:val="28"/>
          <w:lang w:val="en-US"/>
        </w:rPr>
        <w:t xml:space="preserve"> = (Q</w:t>
      </w:r>
      <w:r>
        <w:rPr>
          <w:rStyle w:val="Style14"/>
          <w:color w:val="000000"/>
          <w:position w:val="-27"/>
          <w:sz w:val="18"/>
          <w:sz w:val="28"/>
          <w:szCs w:val="28"/>
          <w:lang w:val="en-US"/>
        </w:rPr>
        <w:t>i</w:t>
      </w:r>
      <w:r>
        <w:rPr>
          <w:rStyle w:val="Style14"/>
          <w:color w:val="000000"/>
          <w:sz w:val="28"/>
          <w:szCs w:val="28"/>
          <w:lang w:val="en-US"/>
        </w:rPr>
        <w:t xml:space="preserve"> * Z</w:t>
      </w:r>
      <w:r>
        <w:rPr>
          <w:rStyle w:val="Style14"/>
          <w:color w:val="000000"/>
          <w:position w:val="-27"/>
          <w:sz w:val="18"/>
          <w:sz w:val="28"/>
          <w:szCs w:val="28"/>
          <w:lang w:val="en-US"/>
        </w:rPr>
        <w:t>i</w:t>
      </w:r>
      <w:r>
        <w:rPr>
          <w:rStyle w:val="Style14"/>
          <w:color w:val="000000"/>
          <w:sz w:val="28"/>
          <w:szCs w:val="28"/>
          <w:lang w:val="en-US"/>
        </w:rPr>
        <w:t>)</w:t>
      </w:r>
      <w:r>
        <w:rPr>
          <w:rStyle w:val="Style14"/>
          <w:color w:val="000000"/>
          <w:sz w:val="28"/>
          <w:szCs w:val="28"/>
        </w:rPr>
        <w:t xml:space="preserve"> / </w:t>
      </w:r>
      <w:r>
        <w:rPr>
          <w:rStyle w:val="Style14"/>
          <w:color w:val="000000"/>
          <w:sz w:val="28"/>
          <w:szCs w:val="28"/>
          <w:lang w:val="en-US"/>
        </w:rPr>
        <w:t>(</w:t>
      </w:r>
      <w:r>
        <w:rPr>
          <w:rStyle w:val="Style14"/>
          <w:rFonts w:eastAsia="Times New Roman" w:cs="Times New Roman"/>
          <w:color w:val="000000"/>
          <w:sz w:val="28"/>
          <w:szCs w:val="28"/>
        </w:rPr>
        <w:t>∑</w:t>
      </w:r>
      <w:r>
        <w:rPr>
          <w:rStyle w:val="Style14"/>
          <w:color w:val="000000"/>
          <w:position w:val="28"/>
          <w:sz w:val="18"/>
          <w:sz w:val="28"/>
          <w:szCs w:val="28"/>
          <w:lang w:val="en-US"/>
        </w:rPr>
        <w:t>n</w:t>
      </w:r>
      <w:r>
        <w:rPr>
          <w:rStyle w:val="Style14"/>
          <w:color w:val="000000"/>
          <w:position w:val="-27"/>
          <w:sz w:val="18"/>
          <w:sz w:val="28"/>
          <w:szCs w:val="28"/>
          <w:lang w:val="en-US"/>
        </w:rPr>
        <w:t>i=1</w:t>
      </w:r>
      <w:r>
        <w:rPr>
          <w:rStyle w:val="Style14"/>
          <w:color w:val="000000"/>
          <w:sz w:val="28"/>
          <w:szCs w:val="28"/>
          <w:lang w:val="en-US"/>
        </w:rPr>
        <w:t>Q</w:t>
      </w:r>
      <w:r>
        <w:rPr>
          <w:rStyle w:val="Style14"/>
          <w:color w:val="000000"/>
          <w:position w:val="-27"/>
          <w:sz w:val="18"/>
          <w:sz w:val="28"/>
          <w:szCs w:val="28"/>
          <w:lang w:val="en-US"/>
        </w:rPr>
        <w:t>i</w:t>
      </w:r>
      <w:r>
        <w:rPr>
          <w:rStyle w:val="Style14"/>
          <w:color w:val="000000"/>
          <w:sz w:val="28"/>
          <w:szCs w:val="28"/>
          <w:lang w:val="en-US"/>
        </w:rPr>
        <w:t xml:space="preserve"> * Z</w:t>
      </w:r>
      <w:r>
        <w:rPr>
          <w:rStyle w:val="Style14"/>
          <w:color w:val="000000"/>
          <w:position w:val="-27"/>
          <w:sz w:val="18"/>
          <w:sz w:val="28"/>
          <w:szCs w:val="28"/>
          <w:lang w:val="en-US"/>
        </w:rPr>
        <w:t>i</w:t>
      </w:r>
      <w:r>
        <w:rPr>
          <w:rStyle w:val="Style14"/>
          <w:color w:val="000000"/>
          <w:sz w:val="28"/>
          <w:szCs w:val="28"/>
          <w:lang w:val="en-US"/>
        </w:rPr>
        <w:t>) * K</w:t>
      </w:r>
      <w:r>
        <w:rPr>
          <w:rStyle w:val="Style14"/>
          <w:color w:val="000000"/>
          <w:position w:val="-27"/>
          <w:sz w:val="18"/>
          <w:sz w:val="28"/>
          <w:szCs w:val="28"/>
          <w:lang w:val="en-US"/>
        </w:rPr>
        <w:t>zag</w:t>
      </w:r>
      <w:r>
        <w:rPr>
          <w:rStyle w:val="Style14"/>
          <w:color w:val="000000"/>
          <w:sz w:val="28"/>
          <w:szCs w:val="28"/>
          <w:lang w:val="en-US"/>
        </w:rPr>
        <w:t>,</w:t>
      </w:r>
    </w:p>
    <w:p>
      <w:pPr>
        <w:pStyle w:val="Style26"/>
        <w:ind w:left="0" w:right="0" w:firstLine="709"/>
        <w:jc w:val="both"/>
        <w:rPr/>
      </w:pPr>
      <w:r>
        <w:rPr>
          <w:rStyle w:val="Style14"/>
          <w:color w:val="000000"/>
          <w:sz w:val="28"/>
          <w:szCs w:val="28"/>
          <w:lang w:val="en-US"/>
        </w:rPr>
        <w:t>K</w:t>
      </w:r>
      <w:r>
        <w:rPr>
          <w:rStyle w:val="Style14"/>
          <w:color w:val="000000"/>
          <w:position w:val="-27"/>
          <w:sz w:val="18"/>
          <w:sz w:val="28"/>
          <w:szCs w:val="28"/>
          <w:lang w:val="en-US"/>
        </w:rPr>
        <w:t>i</w:t>
      </w:r>
      <w:r>
        <w:rPr>
          <w:rStyle w:val="Style14"/>
          <w:color w:val="000000"/>
          <w:sz w:val="28"/>
          <w:szCs w:val="28"/>
        </w:rPr>
        <w:t xml:space="preserve"> - відшкодування заподіяних збитків і-м споживачем на відновлення зруйнованих мереж і споруд (тис. грн);</w:t>
      </w:r>
    </w:p>
    <w:p>
      <w:pPr>
        <w:pStyle w:val="Style26"/>
        <w:ind w:left="0" w:right="0" w:firstLine="709"/>
        <w:jc w:val="both"/>
        <w:rPr/>
      </w:pPr>
      <w:bookmarkStart w:id="75" w:name="n133"/>
      <w:bookmarkEnd w:id="75"/>
      <w:r>
        <w:rPr>
          <w:rStyle w:val="Style14"/>
          <w:color w:val="000000"/>
          <w:sz w:val="28"/>
          <w:szCs w:val="28"/>
          <w:lang w:val="en-US"/>
        </w:rPr>
        <w:t>Q</w:t>
      </w:r>
      <w:r>
        <w:rPr>
          <w:rStyle w:val="Style14"/>
          <w:color w:val="000000"/>
          <w:position w:val="-27"/>
          <w:sz w:val="18"/>
          <w:sz w:val="28"/>
          <w:szCs w:val="28"/>
          <w:lang w:val="en-US"/>
        </w:rPr>
        <w:t>i</w:t>
      </w:r>
      <w:r>
        <w:rPr>
          <w:rStyle w:val="Style14"/>
          <w:color w:val="000000"/>
          <w:sz w:val="28"/>
          <w:szCs w:val="28"/>
        </w:rPr>
        <w:t xml:space="preserve"> - середньодобова витрата стічних вод, які скидає і-тий споживач (м</w:t>
      </w:r>
      <w:r>
        <w:rPr>
          <w:rStyle w:val="Style14"/>
          <w:b/>
          <w:color w:val="000000"/>
          <w:sz w:val="28"/>
          <w:szCs w:val="28"/>
        </w:rPr>
        <w:t>-3</w:t>
      </w:r>
      <w:r>
        <w:rPr>
          <w:rStyle w:val="Style14"/>
          <w:color w:val="000000"/>
          <w:sz w:val="28"/>
          <w:szCs w:val="28"/>
        </w:rPr>
        <w:t>/добу);</w:t>
      </w:r>
    </w:p>
    <w:p>
      <w:pPr>
        <w:pStyle w:val="Style26"/>
        <w:ind w:left="0" w:right="0" w:firstLine="709"/>
        <w:jc w:val="both"/>
        <w:rPr/>
      </w:pPr>
      <w:r>
        <w:rPr>
          <w:rStyle w:val="Style14"/>
          <w:color w:val="000000"/>
          <w:sz w:val="28"/>
          <w:szCs w:val="28"/>
          <w:lang w:val="en-US"/>
        </w:rPr>
        <w:t>Z</w:t>
      </w:r>
      <w:r>
        <w:rPr>
          <w:rStyle w:val="Style14"/>
          <w:color w:val="000000"/>
          <w:position w:val="-27"/>
          <w:sz w:val="18"/>
          <w:sz w:val="28"/>
          <w:szCs w:val="28"/>
          <w:lang w:val="en-US"/>
        </w:rPr>
        <w:t>i</w:t>
      </w:r>
      <w:r>
        <w:rPr>
          <w:rStyle w:val="Style14"/>
          <w:color w:val="000000"/>
          <w:sz w:val="28"/>
          <w:szCs w:val="28"/>
        </w:rPr>
        <w:t xml:space="preserve"> - сума платежів за скид понаднормативних забруднень з агресивними властивостями, стягнута виробником за останні три роки з і-го споживача (тис. грн).</w:t>
      </w:r>
    </w:p>
    <w:p>
      <w:pPr>
        <w:pStyle w:val="Style22"/>
        <w:widowControl/>
        <w:spacing w:before="0" w:after="0"/>
        <w:ind w:left="0" w:right="0" w:firstLine="709"/>
        <w:jc w:val="both"/>
        <w:rPr>
          <w:color w:val="000000"/>
          <w:sz w:val="28"/>
          <w:szCs w:val="28"/>
        </w:rPr>
      </w:pPr>
      <w:r>
        <w:rPr>
          <w:color w:val="000000"/>
          <w:sz w:val="28"/>
          <w:szCs w:val="28"/>
        </w:rPr>
        <w:t>31. У разі засмічення каналізаційних мереж забрудненнями стічних вод споживачів (жирами, осадами, грубодисперсними зависями), які призводять до обмеження пропускної спроможності каналізаційної мережі виробника, споживачі відшкодовують витрати, які повинні бути документально підтверджені виробником, на проведення робіт з відновлення пропускної спроможності трубопроводів та колекторів.</w:t>
      </w:r>
    </w:p>
    <w:p>
      <w:pPr>
        <w:pStyle w:val="Style22"/>
        <w:widowControl/>
        <w:spacing w:before="0" w:after="0"/>
        <w:ind w:left="0" w:right="0" w:firstLine="709"/>
        <w:jc w:val="both"/>
        <w:rPr>
          <w:color w:val="000000"/>
          <w:sz w:val="28"/>
          <w:szCs w:val="28"/>
        </w:rPr>
      </w:pPr>
      <w:r>
        <w:rPr>
          <w:color w:val="000000"/>
          <w:sz w:val="28"/>
          <w:szCs w:val="28"/>
        </w:rPr>
        <w:t>32. За неможливості утилізації осадів та мулів через підвищений вміст важких металів, токсичних речовин тощо та необхідності розміщення осадів і мулів на спеціальних полігонах захоронення кошторисна вартість цих робіт (разом з екологічним податком) розподіляється між споживачами, які винні у забрудненні токсичними речовинами осадів та мулів. Розрахунок кошторисної вартості цих робіт для конкретного споживача виконується за формулою</w:t>
      </w:r>
    </w:p>
    <w:p>
      <w:pPr>
        <w:pStyle w:val="Style22"/>
        <w:widowControl/>
        <w:spacing w:before="0" w:after="0"/>
        <w:ind w:left="0" w:right="0" w:firstLine="709"/>
        <w:jc w:val="both"/>
        <w:rPr/>
      </w:pPr>
      <w:bookmarkStart w:id="76" w:name="n136"/>
      <w:bookmarkEnd w:id="76"/>
      <w:r>
        <w:rPr>
          <w:rStyle w:val="Style14"/>
          <w:color w:val="000000"/>
          <w:sz w:val="28"/>
          <w:szCs w:val="28"/>
          <w:lang w:val="en-US"/>
        </w:rPr>
        <w:t>B</w:t>
      </w:r>
      <w:r>
        <w:rPr>
          <w:rStyle w:val="Style14"/>
          <w:color w:val="000000"/>
          <w:position w:val="-27"/>
          <w:sz w:val="18"/>
          <w:sz w:val="28"/>
          <w:szCs w:val="28"/>
          <w:lang w:val="en-US"/>
        </w:rPr>
        <w:t>i</w:t>
      </w:r>
      <w:r>
        <w:rPr>
          <w:rStyle w:val="Style14"/>
          <w:color w:val="000000"/>
          <w:sz w:val="28"/>
          <w:szCs w:val="28"/>
          <w:lang w:val="en-US"/>
        </w:rPr>
        <w:t xml:space="preserve"> = M</w:t>
      </w:r>
      <w:r>
        <w:rPr>
          <w:rStyle w:val="Style14"/>
          <w:color w:val="000000"/>
          <w:position w:val="-27"/>
          <w:sz w:val="18"/>
          <w:sz w:val="28"/>
          <w:szCs w:val="28"/>
          <w:lang w:val="en-US"/>
        </w:rPr>
        <w:t>i</w:t>
      </w:r>
      <w:r>
        <w:rPr>
          <w:rStyle w:val="Style14"/>
          <w:color w:val="000000"/>
          <w:sz w:val="28"/>
          <w:szCs w:val="28"/>
          <w:lang w:val="en-US"/>
        </w:rPr>
        <w:t xml:space="preserve"> / </w:t>
      </w:r>
      <w:r>
        <w:rPr>
          <w:rStyle w:val="Style14"/>
          <w:rFonts w:eastAsia="Times New Roman" w:cs="Times New Roman"/>
          <w:color w:val="000000"/>
          <w:sz w:val="28"/>
          <w:szCs w:val="28"/>
          <w:lang w:val="en-US"/>
        </w:rPr>
        <w:t>∑</w:t>
      </w:r>
      <w:r>
        <w:rPr>
          <w:rStyle w:val="Style14"/>
          <w:color w:val="000000"/>
          <w:position w:val="28"/>
          <w:sz w:val="18"/>
          <w:sz w:val="28"/>
          <w:szCs w:val="28"/>
          <w:lang w:val="en-US"/>
        </w:rPr>
        <w:t>n</w:t>
      </w:r>
      <w:r>
        <w:rPr>
          <w:rStyle w:val="Style14"/>
          <w:color w:val="000000"/>
          <w:position w:val="-27"/>
          <w:sz w:val="18"/>
          <w:sz w:val="28"/>
          <w:szCs w:val="28"/>
          <w:lang w:val="en-US"/>
        </w:rPr>
        <w:t>i=1</w:t>
      </w:r>
      <w:r>
        <w:rPr>
          <w:rStyle w:val="Style14"/>
          <w:color w:val="000000"/>
          <w:sz w:val="28"/>
          <w:szCs w:val="28"/>
          <w:lang w:val="en-US"/>
        </w:rPr>
        <w:t>M</w:t>
      </w:r>
      <w:r>
        <w:rPr>
          <w:rStyle w:val="Style14"/>
          <w:color w:val="000000"/>
          <w:position w:val="-27"/>
          <w:sz w:val="18"/>
          <w:sz w:val="28"/>
          <w:szCs w:val="28"/>
          <w:lang w:val="en-US"/>
        </w:rPr>
        <w:t>i</w:t>
      </w:r>
      <w:r>
        <w:rPr>
          <w:rStyle w:val="Style14"/>
          <w:color w:val="000000"/>
          <w:sz w:val="28"/>
          <w:szCs w:val="28"/>
          <w:lang w:val="en-US"/>
        </w:rPr>
        <w:t xml:space="preserve"> * B</w:t>
      </w:r>
      <w:r>
        <w:rPr>
          <w:rStyle w:val="Style14"/>
          <w:color w:val="000000"/>
          <w:position w:val="-27"/>
          <w:sz w:val="18"/>
          <w:sz w:val="28"/>
          <w:szCs w:val="28"/>
          <w:lang w:val="en-US"/>
        </w:rPr>
        <w:t>zag</w:t>
      </w:r>
    </w:p>
    <w:p>
      <w:pPr>
        <w:pStyle w:val="Style26"/>
        <w:ind w:left="0" w:right="0" w:firstLine="709"/>
        <w:jc w:val="both"/>
        <w:rPr/>
      </w:pPr>
      <w:r>
        <w:rPr>
          <w:rStyle w:val="Style14"/>
          <w:color w:val="000000"/>
          <w:sz w:val="28"/>
          <w:szCs w:val="28"/>
          <w:lang w:val="en-US"/>
        </w:rPr>
        <w:t>B</w:t>
      </w:r>
      <w:r>
        <w:rPr>
          <w:rStyle w:val="Style14"/>
          <w:color w:val="000000"/>
          <w:position w:val="-27"/>
          <w:sz w:val="18"/>
          <w:sz w:val="28"/>
          <w:szCs w:val="28"/>
          <w:lang w:val="en-US"/>
        </w:rPr>
        <w:t>i</w:t>
      </w:r>
      <w:r>
        <w:rPr>
          <w:rStyle w:val="Style14"/>
          <w:color w:val="000000"/>
          <w:sz w:val="28"/>
          <w:szCs w:val="28"/>
        </w:rPr>
        <w:t xml:space="preserve"> </w:t>
      </w:r>
      <w:r>
        <w:rPr>
          <w:rStyle w:val="Style14"/>
          <w:color w:val="000000"/>
          <w:sz w:val="28"/>
          <w:szCs w:val="28"/>
          <w:lang w:val="en-US"/>
        </w:rPr>
        <w:t xml:space="preserve">- </w:t>
      </w:r>
      <w:r>
        <w:rPr>
          <w:rStyle w:val="Style14"/>
          <w:color w:val="000000"/>
          <w:sz w:val="28"/>
          <w:szCs w:val="28"/>
        </w:rPr>
        <w:t>частка вартості робіт з розміщення осадів і мулів, яка має бути відшкодована і-м споживачем;</w:t>
      </w:r>
    </w:p>
    <w:p>
      <w:pPr>
        <w:pStyle w:val="Style26"/>
        <w:ind w:left="0" w:right="0" w:firstLine="709"/>
        <w:jc w:val="both"/>
        <w:rPr/>
      </w:pPr>
      <w:r>
        <w:rPr>
          <w:rStyle w:val="Style14"/>
          <w:color w:val="000000"/>
          <w:sz w:val="28"/>
          <w:szCs w:val="28"/>
          <w:lang w:val="en-US"/>
        </w:rPr>
        <w:t>B</w:t>
      </w:r>
      <w:r>
        <w:rPr>
          <w:rStyle w:val="Style14"/>
          <w:color w:val="000000"/>
          <w:position w:val="-27"/>
          <w:sz w:val="18"/>
          <w:sz w:val="28"/>
          <w:szCs w:val="28"/>
          <w:lang w:val="en-US"/>
        </w:rPr>
        <w:t>zag</w:t>
      </w:r>
      <w:r>
        <w:rPr>
          <w:rStyle w:val="Style14"/>
          <w:color w:val="000000"/>
          <w:sz w:val="28"/>
          <w:szCs w:val="28"/>
        </w:rPr>
        <w:t xml:space="preserve"> </w:t>
      </w:r>
      <w:r>
        <w:rPr>
          <w:rStyle w:val="Style14"/>
          <w:color w:val="000000"/>
          <w:sz w:val="28"/>
          <w:szCs w:val="28"/>
          <w:lang w:val="en-US"/>
        </w:rPr>
        <w:t xml:space="preserve">- </w:t>
      </w:r>
      <w:r>
        <w:rPr>
          <w:rStyle w:val="Style14"/>
          <w:color w:val="000000"/>
          <w:sz w:val="28"/>
          <w:szCs w:val="28"/>
        </w:rPr>
        <w:t>загальна кошторисна вартість робіт з розміщення осадів і мулів (тис. грн);</w:t>
      </w:r>
    </w:p>
    <w:p>
      <w:pPr>
        <w:pStyle w:val="Style26"/>
        <w:ind w:left="0" w:right="0" w:firstLine="709"/>
        <w:jc w:val="both"/>
        <w:rPr/>
      </w:pPr>
      <w:r>
        <w:rPr>
          <w:rStyle w:val="Style14"/>
          <w:color w:val="000000"/>
          <w:sz w:val="28"/>
          <w:szCs w:val="28"/>
          <w:lang w:val="en-US"/>
        </w:rPr>
        <w:t>M</w:t>
      </w:r>
      <w:r>
        <w:rPr>
          <w:rStyle w:val="Style14"/>
          <w:color w:val="000000"/>
          <w:position w:val="-27"/>
          <w:sz w:val="18"/>
          <w:sz w:val="28"/>
          <w:szCs w:val="28"/>
          <w:lang w:val="en-US"/>
        </w:rPr>
        <w:t>i</w:t>
      </w:r>
      <w:r>
        <w:rPr>
          <w:rStyle w:val="Style14"/>
          <w:color w:val="000000"/>
          <w:sz w:val="28"/>
          <w:szCs w:val="28"/>
        </w:rPr>
        <w:t xml:space="preserve"> </w:t>
      </w:r>
      <w:r>
        <w:rPr>
          <w:rStyle w:val="Style14"/>
          <w:color w:val="000000"/>
          <w:sz w:val="28"/>
          <w:szCs w:val="28"/>
          <w:lang w:val="en-US"/>
        </w:rPr>
        <w:t xml:space="preserve">- </w:t>
      </w:r>
      <w:r>
        <w:rPr>
          <w:rStyle w:val="Style14"/>
          <w:color w:val="000000"/>
          <w:sz w:val="28"/>
          <w:szCs w:val="28"/>
        </w:rPr>
        <w:t>скиди забруднюючих речовин і-м споживачем, що вимагають утилізації осадів тільки шляхом захоронення на спеціальних полігонах (т);</w:t>
      </w:r>
    </w:p>
    <w:p>
      <w:pPr>
        <w:pStyle w:val="Style26"/>
        <w:ind w:left="0" w:right="0" w:firstLine="709"/>
        <w:jc w:val="both"/>
        <w:rPr/>
      </w:pPr>
      <w:r>
        <w:rPr>
          <w:rStyle w:val="Style14"/>
          <w:rFonts w:eastAsia="Times New Roman" w:cs="Times New Roman"/>
          <w:color w:val="000000"/>
          <w:sz w:val="28"/>
          <w:szCs w:val="28"/>
          <w:lang w:val="en-US"/>
        </w:rPr>
        <w:t>∑</w:t>
      </w:r>
      <w:r>
        <w:rPr>
          <w:rStyle w:val="Style14"/>
          <w:color w:val="000000"/>
          <w:position w:val="28"/>
          <w:sz w:val="18"/>
          <w:sz w:val="28"/>
          <w:szCs w:val="28"/>
          <w:lang w:val="en-US"/>
        </w:rPr>
        <w:t>n</w:t>
      </w:r>
      <w:r>
        <w:rPr>
          <w:rStyle w:val="Style14"/>
          <w:color w:val="000000"/>
          <w:position w:val="-27"/>
          <w:sz w:val="18"/>
          <w:sz w:val="28"/>
          <w:szCs w:val="28"/>
          <w:lang w:val="en-US"/>
        </w:rPr>
        <w:t>i=1</w:t>
      </w:r>
      <w:r>
        <w:rPr>
          <w:rStyle w:val="Style14"/>
          <w:color w:val="000000"/>
          <w:sz w:val="28"/>
          <w:szCs w:val="28"/>
          <w:lang w:val="en-US"/>
        </w:rPr>
        <w:t>M</w:t>
      </w:r>
      <w:r>
        <w:rPr>
          <w:rStyle w:val="Style14"/>
          <w:color w:val="000000"/>
          <w:position w:val="-27"/>
          <w:sz w:val="18"/>
          <w:sz w:val="28"/>
          <w:szCs w:val="28"/>
          <w:lang w:val="en-US"/>
        </w:rPr>
        <w:t>i</w:t>
      </w:r>
      <w:r>
        <w:rPr>
          <w:rStyle w:val="Style14"/>
          <w:color w:val="000000"/>
          <w:sz w:val="28"/>
          <w:szCs w:val="28"/>
        </w:rPr>
        <w:t xml:space="preserve"> </w:t>
      </w:r>
      <w:r>
        <w:rPr>
          <w:rStyle w:val="Style14"/>
          <w:color w:val="000000"/>
          <w:sz w:val="28"/>
          <w:szCs w:val="28"/>
          <w:lang w:val="en-US"/>
        </w:rPr>
        <w:t xml:space="preserve">- </w:t>
      </w:r>
      <w:r>
        <w:rPr>
          <w:rStyle w:val="Style14"/>
          <w:color w:val="000000"/>
          <w:sz w:val="28"/>
          <w:szCs w:val="28"/>
        </w:rPr>
        <w:t>сумарні скиди забруднюючих речовин, що вимагають утилізації осадів тільки шляхом захоронення на спеціальних полігонах (т).</w:t>
      </w:r>
    </w:p>
    <w:p>
      <w:pPr>
        <w:pStyle w:val="Style22"/>
        <w:widowControl/>
        <w:spacing w:before="0" w:after="0"/>
        <w:ind w:left="0" w:right="0" w:firstLine="709"/>
        <w:jc w:val="both"/>
        <w:rPr>
          <w:color w:val="000000"/>
          <w:sz w:val="28"/>
          <w:szCs w:val="28"/>
        </w:rPr>
      </w:pPr>
      <w:bookmarkStart w:id="77" w:name="n138"/>
      <w:bookmarkEnd w:id="77"/>
      <w:r>
        <w:rPr>
          <w:color w:val="000000"/>
          <w:sz w:val="28"/>
          <w:szCs w:val="28"/>
        </w:rPr>
        <w:t>Участь споживачів у роботах з розміщення цих осадів визначається цим пунктом та місцевими правилами приймання.</w:t>
      </w:r>
    </w:p>
    <w:p>
      <w:pPr>
        <w:pStyle w:val="Style22"/>
        <w:widowControl/>
        <w:spacing w:before="0" w:after="0"/>
        <w:ind w:left="0" w:right="0" w:firstLine="709"/>
        <w:jc w:val="both"/>
        <w:rPr>
          <w:color w:val="000000"/>
          <w:sz w:val="28"/>
          <w:szCs w:val="28"/>
        </w:rPr>
      </w:pPr>
      <w:r>
        <w:rPr>
          <w:color w:val="000000"/>
          <w:sz w:val="28"/>
          <w:szCs w:val="28"/>
        </w:rPr>
      </w:r>
    </w:p>
    <w:p>
      <w:pPr>
        <w:pStyle w:val="Style22"/>
        <w:widowControl/>
        <w:spacing w:before="0" w:after="0"/>
        <w:ind w:left="0" w:right="0" w:firstLine="709"/>
        <w:jc w:val="center"/>
        <w:rPr>
          <w:b/>
          <w:b/>
          <w:color w:val="000000"/>
          <w:sz w:val="28"/>
          <w:szCs w:val="28"/>
        </w:rPr>
      </w:pPr>
      <w:bookmarkStart w:id="78" w:name="n139"/>
      <w:bookmarkEnd w:id="78"/>
      <w:r>
        <w:rPr>
          <w:b/>
          <w:color w:val="000000"/>
          <w:sz w:val="28"/>
          <w:szCs w:val="28"/>
        </w:rPr>
        <w:t>VІ. Порядок контролю за скидом стічних вод до систем централізованого водовідведення</w:t>
      </w:r>
    </w:p>
    <w:p>
      <w:pPr>
        <w:pStyle w:val="Style22"/>
        <w:widowControl/>
        <w:spacing w:before="0" w:after="0"/>
        <w:ind w:left="0" w:right="0" w:firstLine="709"/>
        <w:jc w:val="both"/>
        <w:rPr>
          <w:color w:val="000000"/>
          <w:sz w:val="28"/>
          <w:szCs w:val="28"/>
        </w:rPr>
      </w:pPr>
      <w:r>
        <w:rPr>
          <w:color w:val="000000"/>
          <w:sz w:val="28"/>
          <w:szCs w:val="28"/>
        </w:rPr>
        <w:t>33. Споживачі здійснюють контроль за кількістю та якістю стічних вод, які вони скидають до системи централізованого водовідведення або безпосередньо на каналізаційні очисні споруди виробників. Споживачі контроль за якістю стічних вод за наступними показниками: азот амонійний, фосфати, ХСК, БСК, завислі речовини та інші, зазначені в договорі.</w:t>
      </w:r>
    </w:p>
    <w:p>
      <w:pPr>
        <w:pStyle w:val="Style22"/>
        <w:widowControl/>
        <w:spacing w:before="0" w:after="0"/>
        <w:ind w:left="0" w:right="0" w:firstLine="709"/>
        <w:jc w:val="both"/>
        <w:rPr>
          <w:color w:val="000000"/>
          <w:sz w:val="28"/>
          <w:szCs w:val="28"/>
        </w:rPr>
      </w:pPr>
      <w:r>
        <w:rPr>
          <w:color w:val="000000"/>
          <w:sz w:val="28"/>
          <w:szCs w:val="28"/>
        </w:rPr>
        <w:t>Контроль споживачами за якістю та кількістю стічних вод здійснюється не рідше одного разу на квартал. Споживачі зобов’язані надавати виробнику інформацію про результати самостійного контролю за кількістю та якістю стічних вод щоквартально, не пізніше 15 числа місяця, наступного за звітним кварталом.</w:t>
      </w:r>
    </w:p>
    <w:p>
      <w:pPr>
        <w:pStyle w:val="Style22"/>
        <w:widowControl/>
        <w:spacing w:before="0" w:after="0"/>
        <w:ind w:left="0" w:right="0" w:firstLine="709"/>
        <w:jc w:val="both"/>
        <w:rPr>
          <w:color w:val="000000"/>
          <w:sz w:val="28"/>
          <w:szCs w:val="28"/>
        </w:rPr>
      </w:pPr>
      <w:bookmarkStart w:id="79" w:name="n141"/>
      <w:bookmarkEnd w:id="79"/>
      <w:r>
        <w:rPr>
          <w:color w:val="000000"/>
          <w:sz w:val="28"/>
          <w:szCs w:val="28"/>
        </w:rPr>
        <w:t>За наявності локальних очисних споруд споживачі здійснюють кількісний та якісний контроль стічних вод, що надходять на них, очищених стічних вод та враховують об’єми видалених із стічних вод осадів. На вивіз та утилізацію осадів повинні бути оформлені відповідні документи (акти, накладні, рахунки), які зберігаються у споживачів не менше трьох років.</w:t>
      </w:r>
    </w:p>
    <w:p>
      <w:pPr>
        <w:pStyle w:val="Style22"/>
        <w:widowControl/>
        <w:spacing w:before="0" w:after="0"/>
        <w:ind w:left="0" w:right="0" w:firstLine="709"/>
        <w:jc w:val="both"/>
        <w:rPr>
          <w:color w:val="000000"/>
          <w:sz w:val="28"/>
          <w:szCs w:val="28"/>
        </w:rPr>
      </w:pPr>
      <w:bookmarkStart w:id="80" w:name="n142"/>
      <w:bookmarkEnd w:id="80"/>
      <w:r>
        <w:rPr>
          <w:color w:val="000000"/>
          <w:sz w:val="28"/>
          <w:szCs w:val="28"/>
        </w:rPr>
        <w:t>Місця та періодичність відбору проб споживачами мають бути погоджені з виробником.</w:t>
      </w:r>
    </w:p>
    <w:p>
      <w:pPr>
        <w:pStyle w:val="Style22"/>
        <w:widowControl/>
        <w:spacing w:before="0" w:after="0"/>
        <w:ind w:left="0" w:right="0" w:firstLine="709"/>
        <w:jc w:val="both"/>
        <w:rPr>
          <w:color w:val="000000"/>
          <w:sz w:val="28"/>
          <w:szCs w:val="28"/>
        </w:rPr>
      </w:pPr>
      <w:bookmarkStart w:id="81" w:name="n143"/>
      <w:bookmarkEnd w:id="81"/>
      <w:r>
        <w:rPr>
          <w:color w:val="000000"/>
          <w:sz w:val="28"/>
          <w:szCs w:val="28"/>
        </w:rPr>
        <w:t>Результати аналізів стічних вод і замірів їх витрат фіксують у робочих журналах, які зберігаються у споживачів безстроково.</w:t>
      </w:r>
    </w:p>
    <w:p>
      <w:pPr>
        <w:pStyle w:val="Style22"/>
        <w:widowControl/>
        <w:spacing w:before="0" w:after="0"/>
        <w:ind w:left="0" w:right="0" w:firstLine="709"/>
        <w:jc w:val="both"/>
        <w:rPr>
          <w:color w:val="000000"/>
          <w:sz w:val="28"/>
          <w:szCs w:val="28"/>
        </w:rPr>
      </w:pPr>
      <w:bookmarkStart w:id="82" w:name="n145"/>
      <w:bookmarkEnd w:id="82"/>
      <w:r>
        <w:rPr>
          <w:color w:val="000000"/>
          <w:sz w:val="28"/>
          <w:szCs w:val="28"/>
        </w:rPr>
        <w:t>Споживачі зобов’язані мати та своєчасно оновлювати технічну документацію, яка характеризує стан систем водопостачання та водовідведення споживача, а саме відомості про системи водопостачання та водовідведення споживача, характеристику їх технічних параметрів і фактичного стану, графічний матеріал (генеральний план (топографічний план)) з нанесеними мережами водопостачання і водовідведення та місцем розташування контрольного колодязя, нормативний розрахунок водоспоживання та водовідведення споживача, технологічні креслення насосних станцій, план та схему локальних очисних споруд і наявність приладів обліку, відомості про категорії стічних вод споживача (промислові, господарсько-побутові, поверхневі тощо), характеристику якості стічних вод, що скидаються до системи централізованого водовідведення.</w:t>
      </w:r>
    </w:p>
    <w:p>
      <w:pPr>
        <w:pStyle w:val="Style22"/>
        <w:widowControl/>
        <w:spacing w:before="0" w:after="0"/>
        <w:ind w:left="0" w:right="0" w:firstLine="709"/>
        <w:jc w:val="both"/>
        <w:rPr>
          <w:color w:val="000000"/>
          <w:sz w:val="28"/>
          <w:szCs w:val="28"/>
        </w:rPr>
      </w:pPr>
      <w:r>
        <w:rPr>
          <w:color w:val="000000"/>
          <w:sz w:val="28"/>
          <w:szCs w:val="28"/>
        </w:rPr>
        <w:t>34. Про всі випадки погіршення якості стічних вод, аварійних та залпових скидів забруднюючих речовин, проведення аварійно-відновних робіт споживачі повинні негайно інформувати виробника.</w:t>
      </w:r>
    </w:p>
    <w:p>
      <w:pPr>
        <w:pStyle w:val="Style22"/>
        <w:widowControl/>
        <w:spacing w:before="0" w:after="0"/>
        <w:ind w:left="0" w:right="0" w:firstLine="709"/>
        <w:jc w:val="both"/>
        <w:rPr>
          <w:color w:val="000000"/>
          <w:sz w:val="28"/>
          <w:szCs w:val="28"/>
        </w:rPr>
      </w:pPr>
      <w:bookmarkStart w:id="83" w:name="n147"/>
      <w:bookmarkEnd w:id="83"/>
      <w:r>
        <w:rPr>
          <w:color w:val="000000"/>
          <w:sz w:val="28"/>
          <w:szCs w:val="28"/>
        </w:rPr>
        <w:t>35. Споживачі, які скидають стічні води до системи централізованого водовідведення або безпосередньо на каналізаційні очисні споруди виробника, повинні забезпечити можливість проведення виробником у будь-який час доби контролю за скидом стічних вод.</w:t>
      </w:r>
    </w:p>
    <w:p>
      <w:pPr>
        <w:pStyle w:val="Style22"/>
        <w:widowControl/>
        <w:spacing w:before="0" w:after="0"/>
        <w:ind w:left="0" w:right="0" w:firstLine="709"/>
        <w:jc w:val="both"/>
        <w:rPr>
          <w:color w:val="000000"/>
          <w:sz w:val="28"/>
          <w:szCs w:val="28"/>
        </w:rPr>
      </w:pPr>
      <w:r>
        <w:rPr>
          <w:color w:val="000000"/>
          <w:sz w:val="28"/>
          <w:szCs w:val="28"/>
        </w:rPr>
        <w:t>36. Для визначення вмісту забруднень у стічних водах споживачів використовуються дані лабораторії виробника, у разі її відсутності - інших лабораторій, що здійснюють свою діяльність у цій галузі відповідно до вимог Закону України “Про метрологію та метрологічну діяльність”.</w:t>
      </w:r>
    </w:p>
    <w:p>
      <w:pPr>
        <w:pStyle w:val="Style22"/>
        <w:widowControl/>
        <w:spacing w:before="0" w:after="0"/>
        <w:ind w:left="0" w:right="0" w:firstLine="709"/>
        <w:jc w:val="both"/>
        <w:rPr>
          <w:color w:val="000000"/>
          <w:sz w:val="28"/>
          <w:szCs w:val="28"/>
        </w:rPr>
      </w:pPr>
      <w:r>
        <w:rPr>
          <w:color w:val="000000"/>
          <w:sz w:val="28"/>
          <w:szCs w:val="28"/>
        </w:rPr>
        <w:t>37. Під час проведення аналізу проб стічних вод, відібраних у споживачів, використовують засоби вимірювальної техніки, повірені уповноваженими органами відповідно до вимог статті 17 Закону України “Про метрологію та метрологічну діяльність”.</w:t>
      </w:r>
    </w:p>
    <w:p>
      <w:pPr>
        <w:pStyle w:val="Style22"/>
        <w:widowControl/>
        <w:spacing w:before="0" w:after="0"/>
        <w:ind w:left="0" w:right="0" w:firstLine="709"/>
        <w:jc w:val="both"/>
        <w:rPr>
          <w:color w:val="000000"/>
          <w:sz w:val="28"/>
          <w:szCs w:val="28"/>
        </w:rPr>
      </w:pPr>
      <w:r>
        <w:rPr>
          <w:color w:val="000000"/>
          <w:sz w:val="28"/>
          <w:szCs w:val="28"/>
        </w:rPr>
        <w:t>38. З метою контролю якості стічних вод споживачів виробник здійснює відбір контрольних проб. Відбір проб здійснюється в будь-який час доби без попереднього повідомлення споживача.</w:t>
      </w:r>
    </w:p>
    <w:p>
      <w:pPr>
        <w:pStyle w:val="Style22"/>
        <w:widowControl/>
        <w:spacing w:before="0" w:after="0"/>
        <w:ind w:left="0" w:right="0" w:firstLine="709"/>
        <w:jc w:val="both"/>
        <w:rPr>
          <w:color w:val="000000"/>
          <w:sz w:val="28"/>
          <w:szCs w:val="28"/>
        </w:rPr>
      </w:pPr>
      <w:r>
        <w:rPr>
          <w:color w:val="000000"/>
          <w:sz w:val="28"/>
          <w:szCs w:val="28"/>
        </w:rPr>
        <w:t>Для Споживачів, які мають незмінний протягом тривалого часу склад стічних вод виробник може здійснювати лабораторний контроль за скороченою схемою за окремими характерними показниками.</w:t>
      </w:r>
    </w:p>
    <w:p>
      <w:pPr>
        <w:pStyle w:val="Style22"/>
        <w:widowControl/>
        <w:spacing w:before="0" w:after="0"/>
        <w:ind w:left="0" w:right="0" w:firstLine="709"/>
        <w:jc w:val="both"/>
        <w:rPr>
          <w:color w:val="000000"/>
          <w:sz w:val="28"/>
          <w:szCs w:val="28"/>
        </w:rPr>
      </w:pPr>
      <w:r>
        <w:rPr>
          <w:color w:val="000000"/>
          <w:sz w:val="28"/>
          <w:szCs w:val="28"/>
        </w:rPr>
        <w:t>39. Відбір проб здійснюється безпосередньо в місці скиду стічних вод в мережу  виробника. У разі неможливості відбір проб здійснюється в місці, найбільш наближеному до місця скиду або в іншому місці за погодженням з виробником.</w:t>
      </w:r>
    </w:p>
    <w:p>
      <w:pPr>
        <w:pStyle w:val="Style22"/>
        <w:widowControl/>
        <w:spacing w:before="0" w:after="0"/>
        <w:ind w:left="0" w:right="0" w:firstLine="709"/>
        <w:jc w:val="both"/>
        <w:rPr>
          <w:color w:val="000000"/>
          <w:sz w:val="28"/>
          <w:szCs w:val="28"/>
        </w:rPr>
      </w:pPr>
      <w:r>
        <w:rPr>
          <w:color w:val="000000"/>
          <w:sz w:val="28"/>
          <w:szCs w:val="28"/>
        </w:rPr>
        <w:t>40. Виявлені в контрольних пробах перевищення ДК забруднюючих речовин у стічних водах є достатньою підставою для нарахування плати за скид понаднормативних забруднень.</w:t>
      </w:r>
    </w:p>
    <w:p>
      <w:pPr>
        <w:pStyle w:val="Style22"/>
        <w:widowControl/>
        <w:spacing w:before="0" w:after="0"/>
        <w:ind w:left="0" w:right="0" w:firstLine="709"/>
        <w:jc w:val="both"/>
        <w:rPr>
          <w:color w:val="000000"/>
          <w:sz w:val="28"/>
          <w:szCs w:val="28"/>
        </w:rPr>
      </w:pPr>
      <w:r>
        <w:rPr>
          <w:color w:val="000000"/>
          <w:sz w:val="28"/>
          <w:szCs w:val="28"/>
        </w:rPr>
        <w:t>41. В момент явки уповноваженого представника виробника до об'єкту споживача для відбору контрольної проби він невідкладно повідомляє про відбір проб представників споживача телефоном, зазначеним в договорі. Уповноважений представник виробника може додатково інформувати про відбір проб у інший спосіб на власний розсуд.</w:t>
      </w:r>
    </w:p>
    <w:p>
      <w:pPr>
        <w:pStyle w:val="Style22"/>
        <w:widowControl/>
        <w:spacing w:before="0" w:after="0"/>
        <w:ind w:left="0" w:right="0" w:firstLine="709"/>
        <w:jc w:val="both"/>
        <w:rPr>
          <w:color w:val="000000"/>
          <w:sz w:val="28"/>
          <w:szCs w:val="28"/>
        </w:rPr>
      </w:pPr>
      <w:bookmarkStart w:id="84" w:name="n151"/>
      <w:bookmarkEnd w:id="84"/>
      <w:r>
        <w:rPr>
          <w:color w:val="000000"/>
          <w:sz w:val="28"/>
          <w:szCs w:val="28"/>
        </w:rPr>
        <w:t>Відбір контрольних проб стічних вод споживачів виконує уповноважений представник виробника, що фіксується у акті, який підписують як представник виробника, так і представник споживача (додається).</w:t>
      </w:r>
    </w:p>
    <w:p>
      <w:pPr>
        <w:pStyle w:val="Style22"/>
        <w:widowControl/>
        <w:spacing w:before="0" w:after="0"/>
        <w:ind w:left="0" w:right="0" w:firstLine="709"/>
        <w:jc w:val="both"/>
        <w:rPr>
          <w:color w:val="000000"/>
          <w:sz w:val="28"/>
          <w:szCs w:val="28"/>
        </w:rPr>
      </w:pPr>
      <w:bookmarkStart w:id="85" w:name="n152"/>
      <w:bookmarkEnd w:id="85"/>
      <w:r>
        <w:rPr>
          <w:color w:val="000000"/>
          <w:sz w:val="28"/>
          <w:szCs w:val="28"/>
        </w:rPr>
        <w:t>У разі відмови представника споживача поставити свій підпис у журналі або в акті представник виробника зазначає про це в журналі або в акті.</w:t>
      </w:r>
    </w:p>
    <w:p>
      <w:pPr>
        <w:pStyle w:val="Style22"/>
        <w:widowControl/>
        <w:spacing w:before="0" w:after="0"/>
        <w:ind w:left="0" w:right="0" w:firstLine="709"/>
        <w:jc w:val="both"/>
        <w:rPr/>
      </w:pPr>
      <w:r>
        <w:rPr>
          <w:rStyle w:val="Style14"/>
          <w:color w:val="000000"/>
          <w:sz w:val="28"/>
          <w:szCs w:val="28"/>
        </w:rPr>
        <w:t>42. Відмова споживача виділити уповноваженого представника для відбору проб фіксується в акті за підписом представника виробника, виробник виставляє споживачу рахунок за понаднормативний скид забруднень з коефіцієнтом кратності K</w:t>
      </w:r>
      <w:r>
        <w:rPr>
          <w:rStyle w:val="Style14"/>
          <w:color w:val="000000"/>
          <w:position w:val="-27"/>
          <w:sz w:val="18"/>
          <w:sz w:val="28"/>
          <w:szCs w:val="28"/>
        </w:rPr>
        <w:t>k</w:t>
      </w:r>
      <w:r>
        <w:rPr>
          <w:rStyle w:val="Style14"/>
          <w:b/>
          <w:color w:val="000000"/>
          <w:sz w:val="28"/>
          <w:szCs w:val="28"/>
        </w:rPr>
        <w:t xml:space="preserve"> </w:t>
      </w:r>
      <w:r>
        <w:rPr>
          <w:rStyle w:val="Style14"/>
          <w:color w:val="000000"/>
          <w:sz w:val="28"/>
          <w:szCs w:val="28"/>
        </w:rPr>
        <w:t>= 2 за розрахунковий місяць, у якому було вчинено це порушення.</w:t>
      </w:r>
    </w:p>
    <w:p>
      <w:pPr>
        <w:pStyle w:val="Style22"/>
        <w:widowControl/>
        <w:spacing w:before="0" w:after="0"/>
        <w:ind w:left="0" w:right="0" w:firstLine="709"/>
        <w:jc w:val="both"/>
        <w:rPr/>
      </w:pPr>
      <w:bookmarkStart w:id="86" w:name="n154"/>
      <w:bookmarkEnd w:id="86"/>
      <w:r>
        <w:rPr>
          <w:rStyle w:val="Style14"/>
          <w:color w:val="000000"/>
          <w:sz w:val="28"/>
          <w:szCs w:val="28"/>
        </w:rPr>
        <w:t>Зволікання з допуском уповноваженого представника виробника до місця відбору проб (більше ніж 30 хвилин після його прибуття) або створення перешкод у відборі проб з боку представників споживача фіксується в акті за підписом представника виробника. Виробник виставляє споживачу рахунок за понаднормативний скид забруднень з коефіцієнтом кратності K</w:t>
      </w:r>
      <w:r>
        <w:rPr>
          <w:rStyle w:val="Style14"/>
          <w:color w:val="000000"/>
          <w:position w:val="-27"/>
          <w:sz w:val="18"/>
          <w:sz w:val="28"/>
          <w:szCs w:val="28"/>
        </w:rPr>
        <w:t>k</w:t>
      </w:r>
      <w:r>
        <w:rPr>
          <w:rStyle w:val="Style14"/>
          <w:color w:val="000000"/>
          <w:sz w:val="28"/>
          <w:szCs w:val="28"/>
        </w:rPr>
        <w:t xml:space="preserve"> = 5 за розрахунковий місяць, у якому було вчинено це порушення.</w:t>
      </w:r>
    </w:p>
    <w:p>
      <w:pPr>
        <w:pStyle w:val="Style22"/>
        <w:widowControl/>
        <w:spacing w:before="0" w:after="0"/>
        <w:ind w:left="0" w:right="0" w:firstLine="709"/>
        <w:jc w:val="both"/>
        <w:rPr>
          <w:color w:val="000000"/>
          <w:sz w:val="28"/>
          <w:szCs w:val="28"/>
        </w:rPr>
      </w:pPr>
      <w:r>
        <w:rPr>
          <w:color w:val="000000"/>
          <w:sz w:val="28"/>
          <w:szCs w:val="28"/>
        </w:rPr>
        <w:t>43. У разі виявлення перевищення ДК забруднюючих речовин, встановлених цими Правилами, виробник у строк не більше п’яти робочих днів з дати відбору контрольної проби направляє споживачу лист-повідомлення про виявлене перевищення ДК забруднюючих речовин у стічних водах споживача та результати хімічного аналізу.</w:t>
      </w:r>
    </w:p>
    <w:p>
      <w:pPr>
        <w:pStyle w:val="Style22"/>
        <w:widowControl/>
        <w:spacing w:before="0" w:after="0"/>
        <w:ind w:left="0" w:right="0" w:firstLine="709"/>
        <w:jc w:val="both"/>
        <w:rPr>
          <w:color w:val="000000"/>
          <w:sz w:val="28"/>
          <w:szCs w:val="28"/>
        </w:rPr>
      </w:pPr>
      <w:bookmarkStart w:id="87" w:name="n156"/>
      <w:bookmarkEnd w:id="87"/>
      <w:r>
        <w:rPr>
          <w:color w:val="000000"/>
          <w:sz w:val="28"/>
          <w:szCs w:val="28"/>
        </w:rPr>
        <w:t>У строк, що не перевищує шести місяців після визначення перевищення допустимих концентрацій, виробник направляє споживачу рахунок за скид стічних вод з перевищенням ДК забруднюючих речовин та копії підтверджуючих документів.</w:t>
      </w:r>
    </w:p>
    <w:p>
      <w:pPr>
        <w:pStyle w:val="Style22"/>
        <w:widowControl/>
        <w:spacing w:before="0" w:after="0"/>
        <w:ind w:left="0" w:right="0" w:firstLine="709"/>
        <w:jc w:val="both"/>
        <w:rPr>
          <w:color w:val="000000"/>
          <w:sz w:val="28"/>
          <w:szCs w:val="28"/>
        </w:rPr>
      </w:pPr>
      <w:r>
        <w:rPr>
          <w:color w:val="000000"/>
          <w:sz w:val="28"/>
          <w:szCs w:val="28"/>
        </w:rPr>
        <w:t>44. За бажанням споживача він має право звернутися до незалежної лабораторії, що здійснює свою діяльність у цій галузі відповідно до вимог Закону України “Про метрологію та метрологічну діяльність”, для проведення аналізу арбітражних проб, які відбираються одночасно з контрольною пробою і зберігаються належним чином виробником та споживачем.</w:t>
      </w:r>
    </w:p>
    <w:p>
      <w:pPr>
        <w:pStyle w:val="Style22"/>
        <w:widowControl/>
        <w:spacing w:before="0" w:after="0"/>
        <w:ind w:left="0" w:right="0" w:firstLine="709"/>
        <w:jc w:val="both"/>
        <w:rPr>
          <w:color w:val="000000"/>
          <w:sz w:val="28"/>
          <w:szCs w:val="28"/>
        </w:rPr>
      </w:pPr>
      <w:r>
        <w:rPr>
          <w:color w:val="000000"/>
          <w:sz w:val="28"/>
          <w:szCs w:val="28"/>
        </w:rPr>
        <w:t>Арбітражні проби відбираються за ініціативи споживача. Безпосередній відбір арбітражної проби здійснюють представники виробника. Споживач забезпечує витрат на проведення відбору арбітражних проб та їх аналізу.</w:t>
      </w:r>
    </w:p>
    <w:p>
      <w:pPr>
        <w:pStyle w:val="Style22"/>
        <w:widowControl/>
        <w:spacing w:before="0" w:after="0"/>
        <w:ind w:left="0" w:right="0" w:firstLine="709"/>
        <w:jc w:val="both"/>
        <w:rPr>
          <w:color w:val="000000"/>
          <w:sz w:val="28"/>
          <w:szCs w:val="28"/>
        </w:rPr>
      </w:pPr>
      <w:r>
        <w:rPr>
          <w:color w:val="000000"/>
          <w:sz w:val="28"/>
          <w:szCs w:val="28"/>
        </w:rPr>
        <w:t>Арбітражна проба відбирається у дві окремі посудини (для виробника та для споживача), обидві опечатуються підписами представників, що фіксується в акті відбору проби. Свою арбітражну пробу споживач невідкладно після відбору направляє на лабораторне дослідження.</w:t>
      </w:r>
    </w:p>
    <w:p>
      <w:pPr>
        <w:pStyle w:val="Style22"/>
        <w:widowControl/>
        <w:spacing w:before="0" w:after="0"/>
        <w:ind w:left="0" w:right="0" w:firstLine="709"/>
        <w:jc w:val="both"/>
        <w:rPr>
          <w:color w:val="000000"/>
          <w:sz w:val="28"/>
          <w:szCs w:val="28"/>
        </w:rPr>
      </w:pPr>
      <w:r>
        <w:rPr>
          <w:color w:val="000000"/>
          <w:sz w:val="28"/>
          <w:szCs w:val="28"/>
        </w:rPr>
        <w:t>Арбітражна проба виробника консервується та за наявності подальших спорів використовується для експертного дослідження. Експертне дослідження проводиться по тих показниках, стосовно яких виникли розбіжності.</w:t>
      </w:r>
    </w:p>
    <w:p>
      <w:pPr>
        <w:pStyle w:val="Style22"/>
        <w:widowControl/>
        <w:spacing w:before="0" w:after="0"/>
        <w:ind w:left="0" w:right="0" w:firstLine="709"/>
        <w:jc w:val="both"/>
        <w:rPr>
          <w:b/>
          <w:b/>
          <w:color w:val="000000"/>
          <w:sz w:val="28"/>
          <w:szCs w:val="28"/>
        </w:rPr>
      </w:pPr>
      <w:r>
        <w:rPr>
          <w:b/>
          <w:color w:val="000000"/>
          <w:sz w:val="28"/>
          <w:szCs w:val="28"/>
        </w:rPr>
      </w:r>
    </w:p>
    <w:p>
      <w:pPr>
        <w:pStyle w:val="Style22"/>
        <w:widowControl/>
        <w:spacing w:before="0" w:after="0"/>
        <w:ind w:left="0" w:right="0" w:firstLine="709"/>
        <w:jc w:val="center"/>
        <w:rPr/>
      </w:pPr>
      <w:bookmarkStart w:id="88" w:name="n1810"/>
      <w:bookmarkEnd w:id="88"/>
      <w:r>
        <w:rPr>
          <w:rStyle w:val="Style14"/>
          <w:b/>
          <w:color w:val="000000"/>
          <w:sz w:val="28"/>
          <w:szCs w:val="28"/>
          <w:lang w:val="en-US"/>
        </w:rPr>
        <w:t>V</w:t>
      </w:r>
      <w:r>
        <w:rPr>
          <w:rStyle w:val="Style14"/>
          <w:b/>
          <w:color w:val="000000"/>
          <w:sz w:val="28"/>
          <w:szCs w:val="28"/>
        </w:rPr>
        <w:t>II. Визначення розміру плати за скид стічних вод до систем централізованого водовідведення при порушенні вимог щодо якості і режиму їх скидання</w:t>
      </w:r>
    </w:p>
    <w:p>
      <w:pPr>
        <w:pStyle w:val="Style22"/>
        <w:widowControl/>
        <w:spacing w:before="0" w:after="0"/>
        <w:ind w:left="0" w:right="0" w:firstLine="709"/>
        <w:jc w:val="both"/>
        <w:rPr>
          <w:color w:val="000000"/>
          <w:sz w:val="28"/>
          <w:szCs w:val="28"/>
        </w:rPr>
      </w:pPr>
      <w:r>
        <w:rPr>
          <w:color w:val="000000"/>
          <w:sz w:val="28"/>
          <w:szCs w:val="28"/>
        </w:rPr>
        <w:t>45. У разі повної відповідності якості та режиму скиду стічних вод Правилам приймання стічних вод до систем централізованого водовідведення, затвердженим наказом Міністерства регіонального розвитку, будівництва та житлово-комунального господарства України від 01 грудня 2017 року №316, цим правилам приймання та умовам укладеного договору споживачі сплачують за послуги водовідведення за тарифом, установленим згідно з чинним законодавством для відповідної категорії споживачів.</w:t>
      </w:r>
    </w:p>
    <w:p>
      <w:pPr>
        <w:pStyle w:val="Style22"/>
        <w:widowControl/>
        <w:spacing w:before="0" w:after="0"/>
        <w:ind w:left="0" w:right="0" w:firstLine="709"/>
        <w:jc w:val="both"/>
        <w:rPr>
          <w:color w:val="000000"/>
          <w:sz w:val="28"/>
          <w:szCs w:val="28"/>
        </w:rPr>
      </w:pPr>
      <w:bookmarkStart w:id="89" w:name="n206"/>
      <w:bookmarkEnd w:id="89"/>
      <w:r>
        <w:rPr>
          <w:color w:val="000000"/>
          <w:sz w:val="28"/>
          <w:szCs w:val="28"/>
        </w:rPr>
        <w:t>Кількість стічних вод споживачів, які підлягають оплаті, визначають за фактичними обсягами відповідно до пунктів 45, 56 цих Правил або згідно з Правилами користування.</w:t>
      </w:r>
    </w:p>
    <w:p>
      <w:pPr>
        <w:pStyle w:val="Style22"/>
        <w:widowControl/>
        <w:spacing w:before="0" w:after="0"/>
        <w:ind w:left="0" w:right="0" w:firstLine="709"/>
        <w:jc w:val="both"/>
        <w:rPr>
          <w:color w:val="000000"/>
          <w:sz w:val="28"/>
          <w:szCs w:val="28"/>
        </w:rPr>
      </w:pPr>
      <w:bookmarkStart w:id="90" w:name="n211"/>
      <w:bookmarkEnd w:id="90"/>
      <w:r>
        <w:rPr>
          <w:color w:val="000000"/>
          <w:sz w:val="28"/>
          <w:szCs w:val="28"/>
        </w:rPr>
        <w:t>Додаткові обсяги стічних вод споживачів (не враховані договором), що надходять до систем централізованого водовідведення або безпосередньо на каналізаційні очисні споруди виробників, оплачуються споживачами у п’ятикратному розмірі встановленого тарифу на послугу з централізованого водовідведення.</w:t>
      </w:r>
    </w:p>
    <w:p>
      <w:pPr>
        <w:pStyle w:val="Style22"/>
        <w:widowControl/>
        <w:spacing w:before="0" w:after="0"/>
        <w:ind w:left="0" w:right="0" w:firstLine="709"/>
        <w:jc w:val="both"/>
        <w:rPr>
          <w:color w:val="000000"/>
          <w:sz w:val="28"/>
          <w:szCs w:val="28"/>
        </w:rPr>
      </w:pPr>
      <w:r>
        <w:rPr>
          <w:color w:val="000000"/>
          <w:sz w:val="28"/>
          <w:szCs w:val="28"/>
        </w:rPr>
        <w:t>46. Споживачі, які здійснюють скид стічних вод за відсутності чинного договору на централізоване водовідведення, сплачують виробнику за весь об’єм стічних вод, скинутих за час відсутності такого договору, в п’ятикратному розмірі встановленого тарифу на послугу централізованого водовідведення.</w:t>
      </w:r>
    </w:p>
    <w:p>
      <w:pPr>
        <w:pStyle w:val="Style22"/>
        <w:widowControl/>
        <w:spacing w:before="0" w:after="0"/>
        <w:ind w:left="0" w:right="0" w:firstLine="709"/>
        <w:jc w:val="both"/>
        <w:rPr/>
      </w:pPr>
      <w:r>
        <w:rPr>
          <w:rStyle w:val="Style14"/>
          <w:color w:val="000000"/>
          <w:sz w:val="28"/>
          <w:szCs w:val="28"/>
        </w:rPr>
        <w:t>47. Величину плати за скид стічних вод у систему централізованого водовідведення виробника (P</w:t>
      </w:r>
      <w:r>
        <w:rPr>
          <w:rStyle w:val="Style14"/>
          <w:color w:val="000000"/>
          <w:position w:val="-27"/>
          <w:sz w:val="18"/>
          <w:sz w:val="28"/>
          <w:szCs w:val="28"/>
        </w:rPr>
        <w:t>c</w:t>
      </w:r>
      <w:r>
        <w:rPr>
          <w:rStyle w:val="Style14"/>
          <w:color w:val="000000"/>
          <w:sz w:val="28"/>
          <w:szCs w:val="28"/>
        </w:rPr>
        <w:t>) розраховує виробник за формулою</w:t>
      </w:r>
    </w:p>
    <w:p>
      <w:pPr>
        <w:pStyle w:val="Style22"/>
        <w:widowControl/>
        <w:spacing w:before="0" w:after="0"/>
        <w:ind w:left="0" w:right="0" w:firstLine="709"/>
        <w:jc w:val="both"/>
        <w:rPr/>
      </w:pPr>
      <w:bookmarkStart w:id="91" w:name="n241"/>
      <w:bookmarkEnd w:id="91"/>
      <w:r>
        <w:rPr>
          <w:rStyle w:val="Style14"/>
          <w:color w:val="000000"/>
          <w:sz w:val="28"/>
          <w:szCs w:val="28"/>
          <w:lang w:val="en-US"/>
        </w:rPr>
        <w:t>P</w:t>
      </w:r>
      <w:r>
        <w:rPr>
          <w:rStyle w:val="Style14"/>
          <w:color w:val="000000"/>
          <w:position w:val="-27"/>
          <w:sz w:val="18"/>
          <w:sz w:val="28"/>
          <w:szCs w:val="28"/>
          <w:lang w:val="en-US"/>
        </w:rPr>
        <w:t>c</w:t>
      </w:r>
      <w:r>
        <w:rPr>
          <w:rStyle w:val="Style14"/>
          <w:color w:val="000000"/>
          <w:sz w:val="28"/>
          <w:szCs w:val="28"/>
          <w:lang w:val="en-US"/>
        </w:rPr>
        <w:t xml:space="preserve"> = T * Q</w:t>
      </w:r>
      <w:r>
        <w:rPr>
          <w:rStyle w:val="Style14"/>
          <w:color w:val="000000"/>
          <w:position w:val="-27"/>
          <w:sz w:val="18"/>
          <w:sz w:val="28"/>
          <w:szCs w:val="28"/>
          <w:lang w:val="en-US"/>
        </w:rPr>
        <w:t>d</w:t>
      </w:r>
      <w:r>
        <w:rPr>
          <w:rStyle w:val="Style14"/>
          <w:color w:val="000000"/>
          <w:sz w:val="28"/>
          <w:szCs w:val="28"/>
          <w:lang w:val="en-US"/>
        </w:rPr>
        <w:t xml:space="preserve"> + 5T * Q</w:t>
      </w:r>
      <w:r>
        <w:rPr>
          <w:rStyle w:val="Style14"/>
          <w:color w:val="000000"/>
          <w:position w:val="-27"/>
          <w:sz w:val="18"/>
          <w:sz w:val="28"/>
          <w:szCs w:val="28"/>
          <w:lang w:val="en-US"/>
        </w:rPr>
        <w:t>pd</w:t>
      </w:r>
      <w:r>
        <w:rPr>
          <w:rStyle w:val="Style14"/>
          <w:color w:val="000000"/>
          <w:sz w:val="28"/>
          <w:szCs w:val="28"/>
          <w:lang w:val="en-US"/>
        </w:rPr>
        <w:t xml:space="preserve"> + K</w:t>
      </w:r>
      <w:r>
        <w:rPr>
          <w:rStyle w:val="Style14"/>
          <w:color w:val="000000"/>
          <w:position w:val="-27"/>
          <w:sz w:val="18"/>
          <w:sz w:val="28"/>
          <w:szCs w:val="28"/>
          <w:lang w:val="en-US"/>
        </w:rPr>
        <w:t>k</w:t>
      </w:r>
      <w:r>
        <w:rPr>
          <w:rStyle w:val="Style14"/>
          <w:color w:val="000000"/>
          <w:sz w:val="28"/>
          <w:szCs w:val="28"/>
          <w:lang w:val="en-US"/>
        </w:rPr>
        <w:t xml:space="preserve"> * T * Q</w:t>
      </w:r>
      <w:r>
        <w:rPr>
          <w:rStyle w:val="Style14"/>
          <w:color w:val="000000"/>
          <w:position w:val="-27"/>
          <w:sz w:val="18"/>
          <w:sz w:val="28"/>
          <w:szCs w:val="28"/>
          <w:lang w:val="en-US"/>
        </w:rPr>
        <w:t>pz</w:t>
      </w:r>
    </w:p>
    <w:p>
      <w:pPr>
        <w:pStyle w:val="Style26"/>
        <w:ind w:left="0" w:right="0" w:firstLine="709"/>
        <w:jc w:val="both"/>
        <w:rPr/>
      </w:pPr>
      <w:r>
        <w:rPr>
          <w:rStyle w:val="Style14"/>
          <w:color w:val="000000"/>
          <w:sz w:val="28"/>
          <w:szCs w:val="28"/>
          <w:lang w:val="en-US"/>
        </w:rPr>
        <w:t>T</w:t>
      </w:r>
      <w:r>
        <w:rPr>
          <w:rStyle w:val="Style14"/>
          <w:color w:val="000000"/>
          <w:sz w:val="28"/>
          <w:szCs w:val="28"/>
        </w:rPr>
        <w:t xml:space="preserve"> </w:t>
      </w:r>
      <w:r>
        <w:rPr>
          <w:rStyle w:val="Style14"/>
          <w:color w:val="000000"/>
          <w:sz w:val="28"/>
          <w:szCs w:val="28"/>
          <w:lang w:val="en-US"/>
        </w:rPr>
        <w:t xml:space="preserve">- </w:t>
      </w:r>
      <w:r>
        <w:rPr>
          <w:rStyle w:val="Style14"/>
          <w:color w:val="000000"/>
          <w:sz w:val="28"/>
          <w:szCs w:val="28"/>
        </w:rPr>
        <w:t>тариф, встановлений за надання послуг централізованого водовідведення споживачам, віднесеним до відповідної категорії, грн/м</w:t>
      </w:r>
      <w:r>
        <w:rPr>
          <w:rStyle w:val="Style14"/>
          <w:b/>
          <w:color w:val="000000"/>
          <w:sz w:val="28"/>
          <w:szCs w:val="28"/>
        </w:rPr>
        <w:t>-3</w:t>
      </w:r>
      <w:r>
        <w:rPr>
          <w:rStyle w:val="Style14"/>
          <w:color w:val="000000"/>
          <w:sz w:val="28"/>
          <w:szCs w:val="28"/>
        </w:rPr>
        <w:t>;</w:t>
      </w:r>
    </w:p>
    <w:p>
      <w:pPr>
        <w:pStyle w:val="Style26"/>
        <w:ind w:left="0" w:right="0" w:firstLine="709"/>
        <w:jc w:val="both"/>
        <w:rPr/>
      </w:pPr>
      <w:r>
        <w:rPr>
          <w:rStyle w:val="Style14"/>
          <w:color w:val="000000"/>
          <w:sz w:val="28"/>
          <w:szCs w:val="28"/>
          <w:u w:val="single"/>
          <w:lang w:val="en-US"/>
        </w:rPr>
        <w:t>Q</w:t>
      </w:r>
      <w:r>
        <w:rPr>
          <w:rStyle w:val="Style14"/>
          <w:color w:val="000000"/>
          <w:position w:val="-27"/>
          <w:sz w:val="18"/>
          <w:sz w:val="28"/>
          <w:szCs w:val="28"/>
          <w:u w:val="single"/>
          <w:lang w:val="en-US"/>
        </w:rPr>
        <w:t>d</w:t>
      </w:r>
      <w:r>
        <w:rPr>
          <w:rStyle w:val="Style14"/>
          <w:color w:val="000000"/>
          <w:sz w:val="28"/>
          <w:szCs w:val="28"/>
        </w:rPr>
        <w:t xml:space="preserve"> </w:t>
      </w:r>
      <w:r>
        <w:rPr>
          <w:rStyle w:val="Style14"/>
          <w:color w:val="000000"/>
          <w:sz w:val="28"/>
          <w:szCs w:val="28"/>
          <w:lang w:val="en-US"/>
        </w:rPr>
        <w:t xml:space="preserve">- </w:t>
      </w:r>
      <w:r>
        <w:rPr>
          <w:rStyle w:val="Style14"/>
          <w:color w:val="000000"/>
          <w:sz w:val="28"/>
          <w:szCs w:val="28"/>
        </w:rPr>
        <w:t>об’єм скинутих споживачем стічних вод у межах, обумовлених договором, м</w:t>
      </w:r>
      <w:r>
        <w:rPr>
          <w:rStyle w:val="Style14"/>
          <w:b/>
          <w:color w:val="000000"/>
          <w:sz w:val="28"/>
          <w:szCs w:val="28"/>
        </w:rPr>
        <w:t>-3</w:t>
      </w:r>
      <w:r>
        <w:rPr>
          <w:rStyle w:val="Style14"/>
          <w:color w:val="000000"/>
          <w:sz w:val="28"/>
          <w:szCs w:val="28"/>
        </w:rPr>
        <w:t>;</w:t>
      </w:r>
    </w:p>
    <w:p>
      <w:pPr>
        <w:pStyle w:val="Style26"/>
        <w:ind w:left="0" w:right="0" w:firstLine="709"/>
        <w:jc w:val="both"/>
        <w:rPr/>
      </w:pPr>
      <w:r>
        <w:rPr>
          <w:rStyle w:val="Style14"/>
          <w:color w:val="000000"/>
          <w:sz w:val="28"/>
          <w:szCs w:val="28"/>
          <w:u w:val="single"/>
          <w:lang w:val="en-US"/>
        </w:rPr>
        <w:t>Q</w:t>
      </w:r>
      <w:r>
        <w:rPr>
          <w:rStyle w:val="Style14"/>
          <w:color w:val="000000"/>
          <w:position w:val="-27"/>
          <w:sz w:val="18"/>
          <w:sz w:val="28"/>
          <w:szCs w:val="28"/>
          <w:u w:val="single"/>
          <w:lang w:val="en-US"/>
        </w:rPr>
        <w:t>pd</w:t>
      </w:r>
      <w:r>
        <w:rPr>
          <w:rStyle w:val="Style14"/>
          <w:color w:val="000000"/>
          <w:sz w:val="28"/>
          <w:szCs w:val="28"/>
        </w:rPr>
        <w:t xml:space="preserve"> </w:t>
      </w:r>
      <w:r>
        <w:rPr>
          <w:rStyle w:val="Style14"/>
          <w:color w:val="000000"/>
          <w:sz w:val="28"/>
          <w:szCs w:val="28"/>
          <w:lang w:val="en-US"/>
        </w:rPr>
        <w:t xml:space="preserve">- </w:t>
      </w:r>
      <w:r>
        <w:rPr>
          <w:rStyle w:val="Style14"/>
          <w:color w:val="000000"/>
          <w:sz w:val="28"/>
          <w:szCs w:val="28"/>
        </w:rPr>
        <w:t>об’єм скинутих споживачем стічних вод понад обсяги, обумовлені договором, м</w:t>
      </w:r>
      <w:r>
        <w:rPr>
          <w:rStyle w:val="Style14"/>
          <w:b/>
          <w:color w:val="000000"/>
          <w:sz w:val="28"/>
          <w:szCs w:val="28"/>
        </w:rPr>
        <w:t>-3</w:t>
      </w:r>
      <w:r>
        <w:rPr>
          <w:rStyle w:val="Style14"/>
          <w:color w:val="000000"/>
          <w:sz w:val="28"/>
          <w:szCs w:val="28"/>
        </w:rPr>
        <w:t>;</w:t>
      </w:r>
    </w:p>
    <w:p>
      <w:pPr>
        <w:pStyle w:val="Style26"/>
        <w:ind w:left="0" w:right="0" w:firstLine="709"/>
        <w:jc w:val="both"/>
        <w:rPr/>
      </w:pPr>
      <w:r>
        <w:rPr>
          <w:rStyle w:val="Style14"/>
          <w:color w:val="000000"/>
          <w:sz w:val="28"/>
          <w:szCs w:val="28"/>
          <w:u w:val="single"/>
          <w:lang w:val="en-US"/>
        </w:rPr>
        <w:t>Q</w:t>
      </w:r>
      <w:r>
        <w:rPr>
          <w:rStyle w:val="Style14"/>
          <w:color w:val="000000"/>
          <w:position w:val="-27"/>
          <w:sz w:val="18"/>
          <w:sz w:val="28"/>
          <w:szCs w:val="28"/>
          <w:u w:val="single"/>
          <w:lang w:val="en-US"/>
        </w:rPr>
        <w:t>pz</w:t>
      </w:r>
      <w:r>
        <w:rPr>
          <w:rStyle w:val="Style14"/>
          <w:color w:val="000000"/>
          <w:sz w:val="28"/>
          <w:szCs w:val="28"/>
        </w:rPr>
        <w:t xml:space="preserve"> </w:t>
      </w:r>
      <w:r>
        <w:rPr>
          <w:rStyle w:val="Style14"/>
          <w:color w:val="000000"/>
          <w:sz w:val="28"/>
          <w:szCs w:val="28"/>
          <w:lang w:val="en-US"/>
        </w:rPr>
        <w:t xml:space="preserve">- </w:t>
      </w:r>
      <w:r>
        <w:rPr>
          <w:rStyle w:val="Style14"/>
          <w:color w:val="000000"/>
          <w:sz w:val="28"/>
          <w:szCs w:val="28"/>
        </w:rPr>
        <w:t>об’єм скинутих споживачем стічних вод з понаднормативними забрудненнями, м</w:t>
      </w:r>
      <w:r>
        <w:rPr>
          <w:rStyle w:val="Style14"/>
          <w:b/>
          <w:color w:val="000000"/>
          <w:sz w:val="28"/>
          <w:szCs w:val="28"/>
        </w:rPr>
        <w:t>-3</w:t>
      </w:r>
      <w:r>
        <w:rPr>
          <w:rStyle w:val="Style14"/>
          <w:color w:val="000000"/>
          <w:sz w:val="28"/>
          <w:szCs w:val="28"/>
        </w:rPr>
        <w:t>;</w:t>
      </w:r>
    </w:p>
    <w:p>
      <w:pPr>
        <w:pStyle w:val="Style26"/>
        <w:ind w:left="0" w:right="0" w:firstLine="709"/>
        <w:jc w:val="both"/>
        <w:rPr/>
      </w:pPr>
      <w:r>
        <w:rPr>
          <w:rStyle w:val="Style14"/>
          <w:color w:val="000000"/>
          <w:sz w:val="28"/>
          <w:szCs w:val="28"/>
          <w:u w:val="single"/>
          <w:lang w:val="en-US"/>
        </w:rPr>
        <w:t>K</w:t>
      </w:r>
      <w:r>
        <w:rPr>
          <w:rStyle w:val="Style14"/>
          <w:color w:val="000000"/>
          <w:position w:val="-27"/>
          <w:sz w:val="18"/>
          <w:sz w:val="28"/>
          <w:szCs w:val="28"/>
          <w:u w:val="single"/>
          <w:lang w:val="en-US"/>
        </w:rPr>
        <w:t>k</w:t>
      </w:r>
      <w:r>
        <w:rPr>
          <w:rStyle w:val="Style14"/>
          <w:color w:val="000000"/>
          <w:sz w:val="28"/>
          <w:szCs w:val="28"/>
        </w:rPr>
        <w:t xml:space="preserve"> </w:t>
      </w:r>
      <w:r>
        <w:rPr>
          <w:rStyle w:val="Style14"/>
          <w:color w:val="000000"/>
          <w:sz w:val="28"/>
          <w:szCs w:val="28"/>
          <w:lang w:val="en-US"/>
        </w:rPr>
        <w:t xml:space="preserve">- </w:t>
      </w:r>
      <w:r>
        <w:rPr>
          <w:rStyle w:val="Style14"/>
          <w:color w:val="000000"/>
          <w:sz w:val="28"/>
          <w:szCs w:val="28"/>
        </w:rPr>
        <w:t>коефіцієнт кратності, який враховує рівень небезпеки скинутих забруднень для технологічних процесів очищення стічних вод та екологічного стану водойми.</w:t>
      </w:r>
    </w:p>
    <w:p>
      <w:pPr>
        <w:pStyle w:val="Style22"/>
        <w:widowControl/>
        <w:spacing w:before="0" w:after="0"/>
        <w:ind w:left="0" w:right="0" w:firstLine="709"/>
        <w:jc w:val="both"/>
        <w:rPr/>
      </w:pPr>
      <w:r>
        <w:rPr>
          <w:rStyle w:val="Style14"/>
          <w:color w:val="000000"/>
          <w:sz w:val="28"/>
          <w:szCs w:val="28"/>
        </w:rPr>
        <w:t>48. У разі виявлення залпового скиду забруднюючої речовини застосовується коефіцієнт кратності K</w:t>
      </w:r>
      <w:r>
        <w:rPr>
          <w:rStyle w:val="Style14"/>
          <w:color w:val="000000"/>
          <w:position w:val="-27"/>
          <w:sz w:val="18"/>
          <w:sz w:val="28"/>
          <w:szCs w:val="28"/>
        </w:rPr>
        <w:t>k</w:t>
      </w:r>
      <w:r>
        <w:rPr>
          <w:rStyle w:val="Style14"/>
          <w:color w:val="000000"/>
          <w:sz w:val="28"/>
          <w:szCs w:val="28"/>
        </w:rPr>
        <w:t>=20.</w:t>
      </w:r>
    </w:p>
    <w:p>
      <w:pPr>
        <w:pStyle w:val="Style22"/>
        <w:widowControl/>
        <w:spacing w:before="0" w:after="0"/>
        <w:ind w:left="0" w:right="0" w:firstLine="709"/>
        <w:jc w:val="both"/>
        <w:rPr/>
      </w:pPr>
      <w:r>
        <w:rPr>
          <w:rStyle w:val="Style14"/>
          <w:color w:val="000000"/>
          <w:sz w:val="28"/>
          <w:szCs w:val="28"/>
        </w:rPr>
        <w:t>49. У разі відхилення показника рН від установлених меж від 0,5 до 1,5 одиниць включно застосовується K</w:t>
      </w:r>
      <w:r>
        <w:rPr>
          <w:rStyle w:val="Style14"/>
          <w:color w:val="000000"/>
          <w:position w:val="-27"/>
          <w:sz w:val="18"/>
          <w:sz w:val="28"/>
          <w:szCs w:val="28"/>
        </w:rPr>
        <w:t>k</w:t>
      </w:r>
      <w:r>
        <w:rPr>
          <w:rStyle w:val="Style14"/>
          <w:color w:val="000000"/>
          <w:sz w:val="28"/>
          <w:szCs w:val="28"/>
        </w:rPr>
        <w:t>=2; від 1,5 до 2 одиниць - K</w:t>
      </w:r>
      <w:r>
        <w:rPr>
          <w:rStyle w:val="Style14"/>
          <w:color w:val="000000"/>
          <w:position w:val="-27"/>
          <w:sz w:val="18"/>
          <w:sz w:val="28"/>
          <w:szCs w:val="28"/>
        </w:rPr>
        <w:t>k</w:t>
      </w:r>
      <w:r>
        <w:rPr>
          <w:rStyle w:val="Style14"/>
          <w:color w:val="000000"/>
          <w:sz w:val="28"/>
          <w:szCs w:val="28"/>
        </w:rPr>
        <w:t>=5; від 2 та більше одиниць - K</w:t>
      </w:r>
      <w:r>
        <w:rPr>
          <w:rStyle w:val="Style14"/>
          <w:color w:val="000000"/>
          <w:position w:val="-27"/>
          <w:sz w:val="18"/>
          <w:sz w:val="28"/>
          <w:szCs w:val="28"/>
        </w:rPr>
        <w:t>k</w:t>
      </w:r>
      <w:r>
        <w:rPr>
          <w:rStyle w:val="Style14"/>
          <w:color w:val="000000"/>
          <w:sz w:val="28"/>
          <w:szCs w:val="28"/>
        </w:rPr>
        <w:t>=10.</w:t>
      </w:r>
    </w:p>
    <w:p>
      <w:pPr>
        <w:pStyle w:val="Style22"/>
        <w:widowControl/>
        <w:spacing w:before="0" w:after="0"/>
        <w:ind w:left="0" w:right="0" w:firstLine="709"/>
        <w:jc w:val="both"/>
        <w:rPr/>
      </w:pPr>
      <w:r>
        <w:rPr>
          <w:rStyle w:val="Style14"/>
          <w:color w:val="000000"/>
          <w:sz w:val="28"/>
          <w:szCs w:val="28"/>
        </w:rPr>
        <w:t>50. У разі перевищення відношення ХСК/БСК</w:t>
      </w:r>
      <w:r>
        <w:rPr>
          <w:rStyle w:val="Style14"/>
          <w:color w:val="000000"/>
          <w:position w:val="-27"/>
          <w:sz w:val="18"/>
          <w:sz w:val="28"/>
          <w:szCs w:val="28"/>
        </w:rPr>
        <w:t>5</w:t>
      </w:r>
      <w:r>
        <w:rPr>
          <w:rStyle w:val="Style14"/>
          <w:color w:val="000000"/>
          <w:sz w:val="28"/>
          <w:szCs w:val="28"/>
        </w:rPr>
        <w:t>≤2,5 коефіцієнт кратності визначають за формулою</w:t>
      </w:r>
    </w:p>
    <w:p>
      <w:pPr>
        <w:pStyle w:val="Style22"/>
        <w:widowControl/>
        <w:spacing w:before="0" w:after="0"/>
        <w:ind w:left="0" w:right="0" w:firstLine="709"/>
        <w:jc w:val="both"/>
        <w:rPr/>
      </w:pPr>
      <w:bookmarkStart w:id="92" w:name="n291"/>
      <w:bookmarkEnd w:id="92"/>
      <w:r>
        <w:rPr>
          <w:rStyle w:val="Style14"/>
          <w:color w:val="000000"/>
          <w:sz w:val="28"/>
          <w:szCs w:val="28"/>
          <w:lang w:val="en-US"/>
        </w:rPr>
        <w:t>K</w:t>
      </w:r>
      <w:r>
        <w:rPr>
          <w:rStyle w:val="Style14"/>
          <w:color w:val="000000"/>
          <w:position w:val="-27"/>
          <w:sz w:val="18"/>
          <w:sz w:val="28"/>
          <w:szCs w:val="28"/>
          <w:lang w:val="en-US"/>
        </w:rPr>
        <w:t>k</w:t>
      </w:r>
      <w:r>
        <w:rPr>
          <w:rStyle w:val="Style14"/>
          <w:color w:val="000000"/>
          <w:sz w:val="28"/>
          <w:szCs w:val="28"/>
          <w:lang w:val="en-US"/>
        </w:rPr>
        <w:t xml:space="preserve"> = XCK / 2,5 * </w:t>
      </w:r>
      <w:r>
        <w:rPr>
          <w:rStyle w:val="Style14"/>
          <w:color w:val="000000"/>
          <w:sz w:val="28"/>
          <w:szCs w:val="28"/>
        </w:rPr>
        <w:t>БСК - 1</w:t>
      </w:r>
    </w:p>
    <w:p>
      <w:pPr>
        <w:pStyle w:val="Style26"/>
        <w:ind w:left="0" w:right="0" w:firstLine="709"/>
        <w:jc w:val="both"/>
        <w:rPr>
          <w:color w:val="000000"/>
          <w:sz w:val="28"/>
          <w:szCs w:val="28"/>
        </w:rPr>
      </w:pPr>
      <w:r>
        <w:rPr>
          <w:color w:val="000000"/>
          <w:sz w:val="28"/>
          <w:szCs w:val="28"/>
        </w:rPr>
        <w:t>ХСК - хімічне споживання кисню;</w:t>
      </w:r>
    </w:p>
    <w:p>
      <w:pPr>
        <w:pStyle w:val="Style26"/>
        <w:ind w:left="0" w:right="0" w:firstLine="709"/>
        <w:jc w:val="both"/>
        <w:rPr/>
      </w:pPr>
      <w:r>
        <w:rPr>
          <w:rStyle w:val="Style14"/>
          <w:color w:val="000000"/>
          <w:sz w:val="28"/>
          <w:szCs w:val="28"/>
        </w:rPr>
        <w:t>БСК</w:t>
      </w:r>
      <w:r>
        <w:rPr>
          <w:rStyle w:val="Style14"/>
          <w:color w:val="000000"/>
          <w:position w:val="-27"/>
          <w:sz w:val="18"/>
          <w:sz w:val="28"/>
          <w:szCs w:val="28"/>
        </w:rPr>
        <w:t>5</w:t>
      </w:r>
      <w:r>
        <w:rPr>
          <w:rStyle w:val="Style14"/>
          <w:color w:val="000000"/>
          <w:sz w:val="28"/>
          <w:szCs w:val="28"/>
        </w:rPr>
        <w:t xml:space="preserve"> - біохімічне споживання кисню протягом п’яти діб.</w:t>
      </w:r>
    </w:p>
    <w:p>
      <w:pPr>
        <w:pStyle w:val="Style22"/>
        <w:widowControl/>
        <w:spacing w:before="0" w:after="0"/>
        <w:ind w:left="0" w:right="0" w:firstLine="709"/>
        <w:jc w:val="both"/>
        <w:rPr/>
      </w:pPr>
      <w:r>
        <w:rPr>
          <w:rStyle w:val="Style14"/>
          <w:color w:val="000000"/>
          <w:sz w:val="28"/>
          <w:szCs w:val="28"/>
        </w:rPr>
        <w:t>51. У разі скиду стічних вод з температурою вище ніж 40</w:t>
      </w:r>
      <w:r>
        <w:rPr>
          <w:rStyle w:val="Style14"/>
          <w:color w:val="000000"/>
          <w:position w:val="28"/>
          <w:sz w:val="18"/>
          <w:sz w:val="28"/>
          <w:szCs w:val="28"/>
        </w:rPr>
        <w:t>о</w:t>
      </w:r>
      <w:r>
        <w:rPr>
          <w:rStyle w:val="Style14"/>
          <w:color w:val="000000"/>
          <w:sz w:val="28"/>
          <w:szCs w:val="28"/>
        </w:rPr>
        <w:t>С або скиду тільки мінеральних солей застосовується K</w:t>
      </w:r>
      <w:r>
        <w:rPr>
          <w:rStyle w:val="Style14"/>
          <w:color w:val="000000"/>
          <w:position w:val="-27"/>
          <w:sz w:val="18"/>
          <w:sz w:val="28"/>
          <w:szCs w:val="28"/>
        </w:rPr>
        <w:t>k</w:t>
      </w:r>
      <w:r>
        <w:rPr>
          <w:rStyle w:val="Style14"/>
          <w:color w:val="000000"/>
          <w:sz w:val="28"/>
          <w:szCs w:val="28"/>
        </w:rPr>
        <w:t>=2.</w:t>
      </w:r>
    </w:p>
    <w:p>
      <w:pPr>
        <w:pStyle w:val="Style22"/>
        <w:widowControl/>
        <w:spacing w:before="0" w:after="0"/>
        <w:ind w:left="0" w:right="0" w:firstLine="709"/>
        <w:jc w:val="both"/>
        <w:rPr/>
      </w:pPr>
      <w:r>
        <w:rPr>
          <w:rStyle w:val="Style14"/>
          <w:color w:val="000000"/>
          <w:sz w:val="28"/>
          <w:szCs w:val="28"/>
        </w:rPr>
        <w:t>52. У разі виявлення факту порушення інших загальних вимог (скид конденсату, дощового та дренажного стоку при роздільній системі каналізації, скид речовин, заборонених до скидання до системи централізованого водовідведення, тощо) застосовується K</w:t>
      </w:r>
      <w:r>
        <w:rPr>
          <w:rStyle w:val="Style14"/>
          <w:color w:val="000000"/>
          <w:position w:val="-27"/>
          <w:sz w:val="18"/>
          <w:sz w:val="28"/>
          <w:szCs w:val="28"/>
        </w:rPr>
        <w:t>k</w:t>
      </w:r>
      <w:r>
        <w:rPr>
          <w:rStyle w:val="Style14"/>
          <w:color w:val="000000"/>
          <w:sz w:val="28"/>
          <w:szCs w:val="28"/>
        </w:rPr>
        <w:t>=5.</w:t>
      </w:r>
    </w:p>
    <w:p>
      <w:pPr>
        <w:pStyle w:val="Style22"/>
        <w:widowControl/>
        <w:spacing w:before="0" w:after="0"/>
        <w:ind w:left="0" w:right="0" w:firstLine="709"/>
        <w:jc w:val="both"/>
        <w:rPr/>
      </w:pPr>
      <w:r>
        <w:rPr>
          <w:rStyle w:val="Style14"/>
          <w:color w:val="000000"/>
          <w:sz w:val="28"/>
          <w:szCs w:val="28"/>
        </w:rPr>
        <w:t>53. У разі виявлення виробником під час контролю якості стічних вод, що скидають споживачі, перевищення фактичної концентрації одного виду забруднення (C</w:t>
      </w:r>
      <w:r>
        <w:rPr>
          <w:rStyle w:val="Style14"/>
          <w:color w:val="000000"/>
          <w:position w:val="-27"/>
          <w:sz w:val="18"/>
          <w:sz w:val="28"/>
          <w:szCs w:val="28"/>
        </w:rPr>
        <w:t>f</w:t>
      </w:r>
      <w:r>
        <w:rPr>
          <w:rStyle w:val="Style14"/>
          <w:color w:val="000000"/>
          <w:sz w:val="28"/>
          <w:szCs w:val="28"/>
        </w:rPr>
        <w:t>) понад установлену допустимою концентрацією (ДК) коефіцієнт кратності (К</w:t>
      </w:r>
      <w:r>
        <w:rPr>
          <w:rStyle w:val="Style14"/>
          <w:color w:val="000000"/>
          <w:position w:val="-27"/>
          <w:sz w:val="18"/>
          <w:sz w:val="28"/>
          <w:szCs w:val="28"/>
        </w:rPr>
        <w:t>к</w:t>
      </w:r>
      <w:r>
        <w:rPr>
          <w:rStyle w:val="Style14"/>
          <w:color w:val="000000"/>
          <w:sz w:val="28"/>
          <w:szCs w:val="28"/>
        </w:rPr>
        <w:t>) для розрахунку плати за скид понаднормативних забруднень визначають за формулою</w:t>
      </w:r>
    </w:p>
    <w:p>
      <w:pPr>
        <w:pStyle w:val="Style22"/>
        <w:widowControl/>
        <w:spacing w:before="0" w:after="0"/>
        <w:ind w:left="0" w:right="0" w:firstLine="709"/>
        <w:jc w:val="both"/>
        <w:rPr/>
      </w:pPr>
      <w:r>
        <w:rPr>
          <w:rStyle w:val="Style14"/>
          <w:color w:val="000000"/>
          <w:sz w:val="28"/>
          <w:szCs w:val="28"/>
          <w:u w:val="single"/>
          <w:lang w:val="en-US"/>
        </w:rPr>
        <w:t>K</w:t>
      </w:r>
      <w:r>
        <w:rPr>
          <w:rStyle w:val="Style14"/>
          <w:color w:val="000000"/>
          <w:position w:val="-27"/>
          <w:sz w:val="18"/>
          <w:sz w:val="28"/>
          <w:szCs w:val="28"/>
          <w:u w:val="single"/>
          <w:lang w:val="en-US"/>
        </w:rPr>
        <w:t>k</w:t>
      </w:r>
      <w:r>
        <w:rPr>
          <w:rStyle w:val="Style14"/>
          <w:color w:val="000000"/>
          <w:sz w:val="28"/>
          <w:szCs w:val="28"/>
          <w:u w:val="single"/>
          <w:lang w:val="en-US"/>
        </w:rPr>
        <w:t xml:space="preserve"> = C</w:t>
      </w:r>
      <w:r>
        <w:rPr>
          <w:rStyle w:val="Style14"/>
          <w:color w:val="000000"/>
          <w:position w:val="-27"/>
          <w:sz w:val="18"/>
          <w:sz w:val="28"/>
          <w:szCs w:val="28"/>
          <w:u w:val="single"/>
          <w:lang w:val="en-US"/>
        </w:rPr>
        <w:t>f</w:t>
      </w:r>
      <w:r>
        <w:rPr>
          <w:rStyle w:val="Style14"/>
          <w:color w:val="000000"/>
          <w:sz w:val="28"/>
          <w:szCs w:val="28"/>
          <w:u w:val="single"/>
          <w:lang w:val="en-US"/>
        </w:rPr>
        <w:t xml:space="preserve"> /</w:t>
      </w:r>
      <w:r>
        <w:rPr>
          <w:rStyle w:val="Style14"/>
          <w:color w:val="000000"/>
          <w:sz w:val="28"/>
          <w:szCs w:val="28"/>
          <w:u w:val="single"/>
        </w:rPr>
        <w:t xml:space="preserve"> ДК - 1</w:t>
      </w:r>
    </w:p>
    <w:p>
      <w:pPr>
        <w:pStyle w:val="Style22"/>
        <w:widowControl/>
        <w:spacing w:before="0" w:after="0"/>
        <w:ind w:left="0" w:right="0" w:firstLine="709"/>
        <w:jc w:val="both"/>
        <w:rPr>
          <w:color w:val="000000"/>
          <w:sz w:val="28"/>
          <w:szCs w:val="28"/>
        </w:rPr>
      </w:pPr>
      <w:bookmarkStart w:id="93" w:name="n351"/>
      <w:bookmarkEnd w:id="93"/>
      <w:r>
        <w:rPr>
          <w:color w:val="000000"/>
          <w:sz w:val="28"/>
          <w:szCs w:val="28"/>
        </w:rPr>
        <w:t>Коефіцієнт кратності при перевищенні ДК однієї речовини не може перевищувати 5, крім випадків, передбачених пунктами 4, 5 цього розділу.</w:t>
      </w:r>
    </w:p>
    <w:p>
      <w:pPr>
        <w:pStyle w:val="Style22"/>
        <w:widowControl/>
        <w:spacing w:before="0" w:after="0"/>
        <w:ind w:left="0" w:right="0" w:firstLine="709"/>
        <w:jc w:val="both"/>
        <w:rPr/>
      </w:pPr>
      <w:r>
        <w:rPr>
          <w:rStyle w:val="Style14"/>
          <w:color w:val="000000"/>
          <w:sz w:val="28"/>
          <w:szCs w:val="28"/>
        </w:rPr>
        <w:t>54. Якщо виробником встановлено факт скиду споживачем токсичних або радіоактивних забруднень, приймання яких до системи централізованого водовідведення виробника не було обумовлено договором, коефіцієнт кратності К</w:t>
      </w:r>
      <w:r>
        <w:rPr>
          <w:rStyle w:val="Style14"/>
          <w:color w:val="000000"/>
          <w:position w:val="-27"/>
          <w:sz w:val="18"/>
          <w:sz w:val="28"/>
          <w:szCs w:val="28"/>
        </w:rPr>
        <w:t>к</w:t>
      </w:r>
      <w:r>
        <w:rPr>
          <w:rStyle w:val="Style14"/>
          <w:color w:val="000000"/>
          <w:sz w:val="28"/>
          <w:szCs w:val="28"/>
        </w:rPr>
        <w:t>=5.</w:t>
      </w:r>
    </w:p>
    <w:p>
      <w:pPr>
        <w:pStyle w:val="Style22"/>
        <w:widowControl/>
        <w:spacing w:before="0" w:after="0"/>
        <w:ind w:left="0" w:right="0" w:firstLine="709"/>
        <w:jc w:val="both"/>
        <w:rPr/>
      </w:pPr>
      <w:r>
        <w:rPr>
          <w:rStyle w:val="Style14"/>
          <w:color w:val="000000"/>
          <w:sz w:val="28"/>
          <w:szCs w:val="28"/>
        </w:rPr>
        <w:t>55. За наявності будь-яких інших порушень Споживачем вимог цих Правил застосовується коефіцієнт кратності К</w:t>
      </w:r>
      <w:r>
        <w:rPr>
          <w:rStyle w:val="Style14"/>
          <w:color w:val="000000"/>
          <w:position w:val="-27"/>
          <w:sz w:val="18"/>
          <w:sz w:val="28"/>
          <w:szCs w:val="28"/>
        </w:rPr>
        <w:t>к</w:t>
      </w:r>
      <w:r>
        <w:rPr>
          <w:rStyle w:val="Style14"/>
          <w:color w:val="000000"/>
          <w:sz w:val="28"/>
          <w:szCs w:val="28"/>
        </w:rPr>
        <w:t>=2.</w:t>
      </w:r>
    </w:p>
    <w:p>
      <w:pPr>
        <w:pStyle w:val="Style22"/>
        <w:widowControl/>
        <w:spacing w:before="0" w:after="0"/>
        <w:ind w:left="0" w:right="0" w:firstLine="709"/>
        <w:jc w:val="both"/>
        <w:rPr>
          <w:color w:val="000000"/>
          <w:sz w:val="28"/>
          <w:szCs w:val="28"/>
        </w:rPr>
      </w:pPr>
      <w:r>
        <w:rPr>
          <w:color w:val="000000"/>
          <w:sz w:val="28"/>
          <w:szCs w:val="28"/>
        </w:rPr>
        <w:t>56. Якщо виробником встановлено факт одночасного скиду до системи централізованого водовідведення кількох забруднень у концентраціях, що перевищують ДК, коефіцієнт кратності Kk визначають за формулою</w:t>
      </w:r>
    </w:p>
    <w:p>
      <w:pPr>
        <w:pStyle w:val="Style22"/>
        <w:widowControl/>
        <w:spacing w:before="0" w:after="0"/>
        <w:ind w:left="0" w:right="0" w:firstLine="709"/>
        <w:jc w:val="both"/>
        <w:rPr/>
      </w:pPr>
      <w:bookmarkStart w:id="94" w:name="n381"/>
      <w:bookmarkEnd w:id="94"/>
      <w:r>
        <w:rPr>
          <w:rStyle w:val="Style14"/>
          <w:color w:val="000000"/>
          <w:sz w:val="28"/>
          <w:szCs w:val="28"/>
          <w:lang w:val="en-US"/>
        </w:rPr>
        <w:t>K</w:t>
      </w:r>
      <w:r>
        <w:rPr>
          <w:rStyle w:val="Style14"/>
          <w:color w:val="000000"/>
          <w:position w:val="-27"/>
          <w:sz w:val="18"/>
          <w:sz w:val="28"/>
          <w:szCs w:val="28"/>
          <w:lang w:val="en-US"/>
        </w:rPr>
        <w:t>k</w:t>
      </w:r>
      <w:r>
        <w:rPr>
          <w:rStyle w:val="Style14"/>
          <w:color w:val="000000"/>
          <w:sz w:val="28"/>
          <w:szCs w:val="28"/>
          <w:lang w:val="en-US"/>
        </w:rPr>
        <w:t xml:space="preserve"> = </w:t>
      </w:r>
      <w:r>
        <w:rPr>
          <w:rStyle w:val="Style14"/>
          <w:rFonts w:eastAsia="Times New Roman" w:cs="Times New Roman"/>
          <w:color w:val="000000"/>
          <w:sz w:val="28"/>
          <w:szCs w:val="28"/>
        </w:rPr>
        <w:t>∑</w:t>
      </w:r>
      <w:r>
        <w:rPr>
          <w:rStyle w:val="Style14"/>
          <w:color w:val="000000"/>
          <w:position w:val="28"/>
          <w:sz w:val="18"/>
          <w:sz w:val="28"/>
          <w:szCs w:val="28"/>
          <w:lang w:val="en-US"/>
        </w:rPr>
        <w:t>n</w:t>
      </w:r>
      <w:r>
        <w:rPr>
          <w:rStyle w:val="Style14"/>
          <w:color w:val="000000"/>
          <w:position w:val="-27"/>
          <w:sz w:val="18"/>
          <w:sz w:val="28"/>
          <w:szCs w:val="28"/>
          <w:lang w:val="en-US"/>
        </w:rPr>
        <w:t>i=1</w:t>
      </w:r>
      <w:r>
        <w:rPr>
          <w:rStyle w:val="Style14"/>
          <w:color w:val="000000"/>
          <w:sz w:val="28"/>
          <w:szCs w:val="28"/>
          <w:lang w:val="en-US"/>
        </w:rPr>
        <w:t xml:space="preserve"> ((C</w:t>
      </w:r>
      <w:r>
        <w:rPr>
          <w:rStyle w:val="Style14"/>
          <w:color w:val="000000"/>
          <w:position w:val="-27"/>
          <w:sz w:val="18"/>
          <w:sz w:val="28"/>
          <w:szCs w:val="28"/>
          <w:lang w:val="en-US"/>
        </w:rPr>
        <w:t>fi</w:t>
      </w:r>
      <w:r>
        <w:rPr>
          <w:rStyle w:val="Style14"/>
          <w:color w:val="000000"/>
          <w:sz w:val="28"/>
          <w:szCs w:val="28"/>
          <w:lang w:val="en-US"/>
        </w:rPr>
        <w:t xml:space="preserve"> – </w:t>
      </w:r>
      <w:r>
        <w:rPr>
          <w:rStyle w:val="Style14"/>
          <w:color w:val="000000"/>
          <w:sz w:val="28"/>
          <w:szCs w:val="28"/>
        </w:rPr>
        <w:t>ДК</w:t>
      </w:r>
      <w:r>
        <w:rPr>
          <w:rStyle w:val="Style14"/>
          <w:color w:val="000000"/>
          <w:position w:val="-27"/>
          <w:sz w:val="18"/>
          <w:sz w:val="28"/>
          <w:szCs w:val="28"/>
        </w:rPr>
        <w:t>і</w:t>
      </w:r>
      <w:r>
        <w:rPr>
          <w:rStyle w:val="Style14"/>
          <w:color w:val="000000"/>
          <w:sz w:val="28"/>
          <w:szCs w:val="28"/>
          <w:lang w:val="en-US"/>
        </w:rPr>
        <w:t xml:space="preserve">) / </w:t>
      </w:r>
      <w:r>
        <w:rPr>
          <w:rStyle w:val="Style14"/>
          <w:color w:val="000000"/>
          <w:sz w:val="28"/>
          <w:szCs w:val="28"/>
        </w:rPr>
        <w:t>ДК</w:t>
      </w:r>
      <w:r>
        <w:rPr>
          <w:rStyle w:val="Style14"/>
          <w:color w:val="000000"/>
          <w:position w:val="-27"/>
          <w:sz w:val="18"/>
          <w:sz w:val="28"/>
          <w:szCs w:val="28"/>
        </w:rPr>
        <w:t>і</w:t>
      </w:r>
      <w:r>
        <w:rPr>
          <w:rStyle w:val="Style14"/>
          <w:color w:val="000000"/>
          <w:sz w:val="28"/>
          <w:szCs w:val="28"/>
          <w:lang w:val="en-US"/>
        </w:rPr>
        <w:t>)</w:t>
      </w:r>
    </w:p>
    <w:p>
      <w:pPr>
        <w:pStyle w:val="Style26"/>
        <w:ind w:left="0" w:right="0" w:firstLine="709"/>
        <w:jc w:val="both"/>
        <w:rPr/>
      </w:pPr>
      <w:r>
        <w:rPr>
          <w:rStyle w:val="Style14"/>
          <w:color w:val="000000"/>
          <w:sz w:val="28"/>
          <w:szCs w:val="28"/>
          <w:lang w:val="en-US"/>
        </w:rPr>
        <w:t>C</w:t>
      </w:r>
      <w:r>
        <w:rPr>
          <w:rStyle w:val="Style14"/>
          <w:color w:val="000000"/>
          <w:position w:val="-27"/>
          <w:sz w:val="18"/>
          <w:sz w:val="28"/>
          <w:szCs w:val="28"/>
          <w:lang w:val="en-US"/>
        </w:rPr>
        <w:t>fi</w:t>
      </w:r>
      <w:r>
        <w:rPr>
          <w:rStyle w:val="Style14"/>
          <w:color w:val="000000"/>
          <w:sz w:val="28"/>
          <w:szCs w:val="28"/>
        </w:rPr>
        <w:t xml:space="preserve"> - фактична концентрація в стічних водах споживача і-ої речовини;</w:t>
      </w:r>
    </w:p>
    <w:p>
      <w:pPr>
        <w:pStyle w:val="Style26"/>
        <w:ind w:left="0" w:right="0" w:firstLine="709"/>
        <w:jc w:val="both"/>
        <w:rPr/>
      </w:pPr>
      <w:r>
        <w:rPr>
          <w:rStyle w:val="Style14"/>
          <w:color w:val="000000"/>
          <w:sz w:val="28"/>
          <w:szCs w:val="28"/>
        </w:rPr>
        <w:t>ДК</w:t>
      </w:r>
      <w:r>
        <w:rPr>
          <w:rStyle w:val="Style14"/>
          <w:color w:val="000000"/>
          <w:position w:val="-27"/>
          <w:sz w:val="18"/>
          <w:sz w:val="28"/>
          <w:szCs w:val="28"/>
        </w:rPr>
        <w:t>і</w:t>
      </w:r>
      <w:r>
        <w:rPr>
          <w:rStyle w:val="Style14"/>
          <w:color w:val="000000"/>
          <w:sz w:val="28"/>
          <w:szCs w:val="28"/>
        </w:rPr>
        <w:t xml:space="preserve"> - допустима концентрація і-ої речовини.</w:t>
      </w:r>
    </w:p>
    <w:p>
      <w:pPr>
        <w:pStyle w:val="Style22"/>
        <w:widowControl/>
        <w:spacing w:before="0" w:after="0"/>
        <w:ind w:left="0" w:right="0" w:firstLine="709"/>
        <w:jc w:val="both"/>
        <w:rPr/>
      </w:pPr>
      <w:bookmarkStart w:id="95" w:name="n401"/>
      <w:bookmarkEnd w:id="95"/>
      <w:r>
        <w:rPr>
          <w:rStyle w:val="Style14"/>
          <w:color w:val="000000"/>
          <w:sz w:val="28"/>
          <w:szCs w:val="28"/>
        </w:rPr>
        <w:t>Загальний коефіцієнт кратності з урахуванням перевищення допустимої концентрації кількох речовин та інших порушень не може бути більше ніж 10. Якщо за розрахунком K</w:t>
      </w:r>
      <w:r>
        <w:rPr>
          <w:rStyle w:val="Style14"/>
          <w:color w:val="000000"/>
          <w:position w:val="-27"/>
          <w:sz w:val="18"/>
          <w:sz w:val="28"/>
          <w:szCs w:val="28"/>
        </w:rPr>
        <w:t>k</w:t>
      </w:r>
      <w:r>
        <w:rPr>
          <w:rStyle w:val="Style14"/>
          <w:color w:val="000000"/>
          <w:sz w:val="28"/>
          <w:szCs w:val="28"/>
        </w:rPr>
        <w:t xml:space="preserve"> більше ніж 10, приймають K</w:t>
      </w:r>
      <w:r>
        <w:rPr>
          <w:rStyle w:val="Style14"/>
          <w:color w:val="000000"/>
          <w:position w:val="-27"/>
          <w:sz w:val="18"/>
          <w:sz w:val="28"/>
          <w:szCs w:val="28"/>
        </w:rPr>
        <w:t>k</w:t>
      </w:r>
      <w:r>
        <w:rPr>
          <w:rStyle w:val="Style14"/>
          <w:color w:val="000000"/>
          <w:sz w:val="28"/>
          <w:szCs w:val="28"/>
        </w:rPr>
        <w:t xml:space="preserve"> = 10, крім випадків, передбачених пунктом 48 цих Правил.</w:t>
      </w:r>
    </w:p>
    <w:p>
      <w:pPr>
        <w:pStyle w:val="Style22"/>
        <w:widowControl/>
        <w:spacing w:before="0" w:after="0"/>
        <w:ind w:left="0" w:right="0" w:firstLine="709"/>
        <w:jc w:val="both"/>
        <w:rPr>
          <w:color w:val="000000"/>
          <w:sz w:val="28"/>
          <w:szCs w:val="28"/>
        </w:rPr>
      </w:pPr>
      <w:r>
        <w:rPr>
          <w:color w:val="000000"/>
          <w:sz w:val="28"/>
          <w:szCs w:val="28"/>
        </w:rPr>
        <w:t>57. Плата за скид споживачем стічних вод із перевищенням ДК забруднюючих речовин, що встановлено аналізом контрольної проби та підтверджено актом, стягується за період від попереднього відбору контрольної проби, проведеного виробником, до дати зафіксованого порушення, але не більше дев’яноста днів. Підвищена плата стягується за весь обсяг стічних вод, скинутих споживачем за цей період з певного об’єкта.</w:t>
      </w:r>
    </w:p>
    <w:p>
      <w:pPr>
        <w:pStyle w:val="Style22"/>
        <w:widowControl/>
        <w:spacing w:before="0" w:after="0"/>
        <w:ind w:left="0" w:right="0" w:firstLine="709"/>
        <w:jc w:val="both"/>
        <w:rPr>
          <w:color w:val="000000"/>
          <w:sz w:val="28"/>
          <w:szCs w:val="28"/>
        </w:rPr>
      </w:pPr>
      <w:r>
        <w:rPr>
          <w:color w:val="000000"/>
          <w:sz w:val="28"/>
          <w:szCs w:val="28"/>
        </w:rPr>
        <w:t>58. Плата за скид стічних вод до систем централізованого водовідведення у разі порушення вимог щодо якості і режиму їх скидання вноситься споживачем на рахунок виробника у порядку та в строки, що встановлені для оплати послуг з водовідведення.</w:t>
      </w:r>
    </w:p>
    <w:p>
      <w:pPr>
        <w:pStyle w:val="Style22"/>
        <w:widowControl/>
        <w:spacing w:before="0" w:after="0"/>
        <w:ind w:left="0" w:right="0" w:firstLine="709"/>
        <w:jc w:val="both"/>
        <w:rPr>
          <w:color w:val="000000"/>
          <w:sz w:val="28"/>
          <w:szCs w:val="28"/>
        </w:rPr>
      </w:pPr>
      <w:r>
        <w:rPr>
          <w:color w:val="000000"/>
          <w:sz w:val="28"/>
          <w:szCs w:val="28"/>
        </w:rPr>
        <w:t>59. За додаткову кількість стічних вод, що надходить до систем централізованого водовідведення виробника у період дощів та сніготанення (далі — атмосферні стічні води) через люки каналізаційних колодязів та приймачі дощової каналізації на території споживача, останній сплачує згідно з вимогами Правил користування.</w:t>
      </w:r>
    </w:p>
    <w:p>
      <w:pPr>
        <w:pStyle w:val="Style22"/>
        <w:widowControl/>
        <w:spacing w:before="0" w:after="0"/>
        <w:ind w:left="0" w:right="0" w:firstLine="709"/>
        <w:jc w:val="both"/>
        <w:rPr>
          <w:color w:val="000000"/>
          <w:sz w:val="28"/>
          <w:szCs w:val="28"/>
        </w:rPr>
      </w:pPr>
      <w:r>
        <w:rPr>
          <w:color w:val="000000"/>
          <w:sz w:val="28"/>
          <w:szCs w:val="28"/>
        </w:rPr>
        <w:t>60. За додаткову кількість атмосферних стічних вод сплачують усі споживачі, об'єкти яких знаходяться на території каналізування виробника. Споживачі, об'єкти яких знаходяться на території роздільної системи каналізування сплачують 20% розрахункового обсягу атмосферних опадів.</w:t>
      </w:r>
    </w:p>
    <w:p>
      <w:pPr>
        <w:pStyle w:val="Style22"/>
        <w:widowControl/>
        <w:spacing w:before="0" w:after="0"/>
        <w:ind w:left="0" w:right="0" w:firstLine="709"/>
        <w:jc w:val="both"/>
        <w:rPr>
          <w:color w:val="000000"/>
          <w:sz w:val="28"/>
          <w:szCs w:val="28"/>
        </w:rPr>
      </w:pPr>
      <w:r>
        <w:rPr>
          <w:color w:val="000000"/>
          <w:sz w:val="28"/>
          <w:szCs w:val="28"/>
        </w:rPr>
        <w:t xml:space="preserve">61. Середньорічний об'єм атмосферних стічних вод (О), визначають за </w:t>
      </w:r>
      <w:bookmarkStart w:id="96" w:name="o119"/>
      <w:bookmarkEnd w:id="96"/>
      <w:r>
        <w:rPr>
          <w:color w:val="000000"/>
          <w:sz w:val="28"/>
          <w:szCs w:val="28"/>
        </w:rPr>
        <w:t>формулою</w:t>
      </w:r>
    </w:p>
    <w:p>
      <w:pPr>
        <w:pStyle w:val="Style22"/>
        <w:widowControl/>
        <w:spacing w:before="0" w:after="0"/>
        <w:ind w:left="0" w:right="0" w:firstLine="709"/>
        <w:jc w:val="both"/>
        <w:rPr>
          <w:color w:val="000000"/>
          <w:sz w:val="28"/>
          <w:szCs w:val="28"/>
        </w:rPr>
      </w:pPr>
      <w:r>
        <w:rPr>
          <w:color w:val="000000"/>
          <w:sz w:val="28"/>
          <w:szCs w:val="28"/>
        </w:rPr>
        <w:t>О = 10 * h * к * F,</w:t>
      </w:r>
    </w:p>
    <w:p>
      <w:pPr>
        <w:pStyle w:val="Style22"/>
        <w:widowControl/>
        <w:spacing w:before="0" w:after="0"/>
        <w:ind w:left="0" w:right="0" w:firstLine="709"/>
        <w:jc w:val="both"/>
        <w:rPr>
          <w:color w:val="000000"/>
          <w:sz w:val="28"/>
          <w:szCs w:val="28"/>
        </w:rPr>
      </w:pPr>
      <w:r>
        <w:rPr>
          <w:color w:val="000000"/>
          <w:sz w:val="28"/>
          <w:szCs w:val="28"/>
        </w:rPr>
        <w:t>де h - кількість опадів за розрахунковий місяць, мм;</w:t>
      </w:r>
    </w:p>
    <w:p>
      <w:pPr>
        <w:pStyle w:val="Style22"/>
        <w:widowControl/>
        <w:spacing w:before="0" w:after="0"/>
        <w:ind w:left="0" w:right="0" w:firstLine="709"/>
        <w:jc w:val="both"/>
        <w:rPr>
          <w:color w:val="000000"/>
          <w:sz w:val="28"/>
          <w:szCs w:val="28"/>
        </w:rPr>
      </w:pPr>
      <w:r>
        <w:rPr>
          <w:color w:val="000000"/>
          <w:sz w:val="28"/>
          <w:szCs w:val="28"/>
        </w:rPr>
        <w:t>к - загальний коефіцієнт стоку дощових вод;</w:t>
      </w:r>
    </w:p>
    <w:p>
      <w:pPr>
        <w:pStyle w:val="Style22"/>
        <w:widowControl/>
        <w:spacing w:before="0" w:after="0"/>
        <w:ind w:left="0" w:right="0" w:firstLine="709"/>
        <w:jc w:val="both"/>
        <w:rPr>
          <w:color w:val="000000"/>
          <w:sz w:val="28"/>
          <w:szCs w:val="28"/>
        </w:rPr>
      </w:pPr>
      <w:r>
        <w:rPr>
          <w:color w:val="000000"/>
          <w:sz w:val="28"/>
          <w:szCs w:val="28"/>
        </w:rPr>
        <w:t>F - загальна площа стоку дощових вод, га.</w:t>
      </w:r>
    </w:p>
    <w:p>
      <w:pPr>
        <w:pStyle w:val="Normal"/>
        <w:ind w:left="0" w:right="0" w:firstLine="709"/>
        <w:jc w:val="both"/>
        <w:rPr>
          <w:color w:val="000000"/>
          <w:sz w:val="28"/>
          <w:szCs w:val="28"/>
        </w:rPr>
      </w:pPr>
      <w:r>
        <w:rPr>
          <w:color w:val="000000"/>
          <w:sz w:val="28"/>
          <w:szCs w:val="28"/>
        </w:rPr>
      </w:r>
    </w:p>
    <w:p>
      <w:pPr>
        <w:pStyle w:val="Normal"/>
        <w:ind w:left="0" w:right="0" w:firstLine="709"/>
        <w:jc w:val="center"/>
        <w:rPr/>
      </w:pPr>
      <w:r>
        <w:rPr>
          <w:rStyle w:val="Style14"/>
          <w:b/>
          <w:bCs/>
          <w:color w:val="000000"/>
          <w:sz w:val="28"/>
          <w:szCs w:val="28"/>
          <w:lang w:val="en-US"/>
        </w:rPr>
        <w:t>VIII</w:t>
      </w:r>
      <w:r>
        <w:rPr>
          <w:rStyle w:val="Style14"/>
          <w:b/>
          <w:bCs/>
          <w:color w:val="000000"/>
          <w:sz w:val="28"/>
          <w:szCs w:val="28"/>
        </w:rPr>
        <w:t>. Порядок приймання стічних вод асенізаційним транспортом.</w:t>
      </w:r>
    </w:p>
    <w:p>
      <w:pPr>
        <w:pStyle w:val="Normal"/>
        <w:ind w:left="0" w:right="0" w:firstLine="709"/>
        <w:jc w:val="both"/>
        <w:rPr>
          <w:color w:val="000000"/>
          <w:sz w:val="28"/>
          <w:szCs w:val="28"/>
        </w:rPr>
      </w:pPr>
      <w:r>
        <w:rPr>
          <w:color w:val="000000"/>
          <w:sz w:val="28"/>
          <w:szCs w:val="28"/>
        </w:rPr>
        <w:t>62. Приймання до системи централізованого водовідведення стічних вод, які вивозяться асенізаційним транспортом від споживачів, здійснюється тільки на приймальну камеру другої лінії каналізаційних очисних споруд.</w:t>
      </w:r>
    </w:p>
    <w:p>
      <w:pPr>
        <w:pStyle w:val="Normal"/>
        <w:ind w:left="0" w:right="0" w:firstLine="709"/>
        <w:jc w:val="both"/>
        <w:rPr>
          <w:color w:val="000000"/>
          <w:sz w:val="28"/>
          <w:szCs w:val="28"/>
        </w:rPr>
      </w:pPr>
      <w:r>
        <w:rPr>
          <w:color w:val="000000"/>
          <w:sz w:val="28"/>
          <w:szCs w:val="28"/>
        </w:rPr>
        <w:t>63. Ці Правила поширюються на всіх споживачів, які не приєднані до системи централізованого водовідведення, та на всі види рідких відходів.</w:t>
      </w:r>
    </w:p>
    <w:p>
      <w:pPr>
        <w:pStyle w:val="Normal"/>
        <w:ind w:left="0" w:right="0" w:firstLine="709"/>
        <w:jc w:val="both"/>
        <w:rPr>
          <w:color w:val="000000"/>
          <w:sz w:val="28"/>
          <w:szCs w:val="28"/>
        </w:rPr>
      </w:pPr>
      <w:r>
        <w:rPr>
          <w:color w:val="000000"/>
          <w:sz w:val="28"/>
          <w:szCs w:val="28"/>
        </w:rPr>
        <w:t>64. Для збирання рідких відходів у споживачів, які не приєднані до системи централізованого водовідведення, влаштовуються дворові помийниці, які повинні мати водонепроникний вигріб та наземну частину з кришкою і гратою для відділення твердих фракцій. Для зручності очищення грат передня стінка помийниці повинна зніматися або відкриватися. Якщо присутні дворові убиральні, вигріб може бути спільним.</w:t>
      </w:r>
    </w:p>
    <w:p>
      <w:pPr>
        <w:pStyle w:val="Normal"/>
        <w:ind w:left="0" w:right="0" w:firstLine="709"/>
        <w:jc w:val="both"/>
        <w:rPr/>
      </w:pPr>
      <w:r>
        <w:rPr>
          <w:rStyle w:val="Style14"/>
          <w:color w:val="000000"/>
          <w:sz w:val="28"/>
          <w:szCs w:val="28"/>
        </w:rPr>
        <w:t>65. Стоки вигрібних ям не повинні містити великі механічні домішки і пісок. БСК</w:t>
      </w:r>
      <w:r>
        <w:rPr>
          <w:rStyle w:val="Style14"/>
          <w:color w:val="000000"/>
          <w:position w:val="-27"/>
          <w:sz w:val="18"/>
          <w:sz w:val="28"/>
          <w:szCs w:val="28"/>
        </w:rPr>
        <w:t>5</w:t>
      </w:r>
      <w:r>
        <w:rPr>
          <w:rStyle w:val="Style14"/>
          <w:color w:val="000000"/>
          <w:sz w:val="28"/>
          <w:szCs w:val="28"/>
        </w:rPr>
        <w:t xml:space="preserve"> не повинно перевищувати 1000 мг/л.</w:t>
      </w:r>
    </w:p>
    <w:p>
      <w:pPr>
        <w:pStyle w:val="Normal"/>
        <w:ind w:left="0" w:right="0" w:firstLine="709"/>
        <w:jc w:val="both"/>
        <w:rPr>
          <w:color w:val="000000"/>
          <w:sz w:val="28"/>
          <w:szCs w:val="28"/>
        </w:rPr>
      </w:pPr>
      <w:r>
        <w:rPr>
          <w:color w:val="000000"/>
          <w:sz w:val="28"/>
          <w:szCs w:val="28"/>
        </w:rPr>
        <w:t>66. Глибина вигребу залежить від рівня ґрунтових вод, але не повинна бути більше 3 метрів. Не допускається наповнення вигребу більше, ніж до 0,35м від поверхні землі. Вигріб потрібно очищати по мірі його заповнення, але не рідше 1 разу на півроку.</w:t>
      </w:r>
    </w:p>
    <w:p>
      <w:pPr>
        <w:pStyle w:val="Normal"/>
        <w:ind w:left="0" w:right="0" w:firstLine="709"/>
        <w:jc w:val="both"/>
        <w:rPr>
          <w:color w:val="000000"/>
          <w:sz w:val="28"/>
          <w:szCs w:val="28"/>
        </w:rPr>
      </w:pPr>
      <w:r>
        <w:rPr>
          <w:color w:val="000000"/>
          <w:sz w:val="28"/>
          <w:szCs w:val="28"/>
        </w:rPr>
        <w:t>67. Неканалізовані убиральні та вигрібні ями повинні дезінфікуватися. Склад дезінфікуючого розчину повинен включати: хлорне вапно (10%), нафталізол (10%), креолін (5%), метасілікат натрію (10%), гіпохлорит натрію (3-5%), лізол (5%). Час контакту не менше 2 хвилин і не рідше 1 разу в півроку. Забороняється застосовувати сухе хлорне вапно (за винятком харчових об'єктів і медичних лікувально-профілактичних закладів).</w:t>
      </w:r>
    </w:p>
    <w:p>
      <w:pPr>
        <w:pStyle w:val="Normal"/>
        <w:ind w:left="0" w:right="0" w:firstLine="709"/>
        <w:jc w:val="both"/>
        <w:rPr>
          <w:color w:val="000000"/>
          <w:sz w:val="28"/>
          <w:szCs w:val="28"/>
        </w:rPr>
      </w:pPr>
      <w:r>
        <w:rPr>
          <w:color w:val="000000"/>
          <w:sz w:val="28"/>
          <w:szCs w:val="28"/>
        </w:rPr>
        <w:t>68 Скидати стічні води від вигрібних ям, використовуючи рельєф місцевості, забороняється.</w:t>
      </w:r>
    </w:p>
    <w:p>
      <w:pPr>
        <w:pStyle w:val="Normal"/>
        <w:ind w:left="0" w:right="0" w:firstLine="709"/>
        <w:jc w:val="both"/>
        <w:rPr>
          <w:color w:val="000000"/>
          <w:sz w:val="28"/>
          <w:szCs w:val="28"/>
        </w:rPr>
      </w:pPr>
      <w:r>
        <w:rPr>
          <w:color w:val="000000"/>
          <w:sz w:val="28"/>
          <w:szCs w:val="28"/>
        </w:rPr>
        <w:t>69. Забороняється скидати у вигрібні ями і на очисні споруди дощові і розталі води, осади шламонакопичувачів, жировловлювачів та нафтовловлювачів.</w:t>
      </w:r>
    </w:p>
    <w:p>
      <w:pPr>
        <w:pStyle w:val="Normal"/>
        <w:ind w:left="0" w:right="0" w:firstLine="709"/>
        <w:jc w:val="both"/>
        <w:rPr>
          <w:color w:val="000000"/>
          <w:sz w:val="28"/>
          <w:szCs w:val="28"/>
        </w:rPr>
      </w:pPr>
      <w:r>
        <w:rPr>
          <w:color w:val="000000"/>
          <w:sz w:val="28"/>
          <w:szCs w:val="28"/>
        </w:rPr>
        <w:t>70. Перевезення рідких відходів до місця їхнього скидання здійснюється Комунальним підприємством “Тернопільводоканал” або іншою спеціалізованою організацією, яка має право на здійснення такого виду діяльності та має необхідні технічні можливості (далі — Перевізник).</w:t>
      </w:r>
    </w:p>
    <w:p>
      <w:pPr>
        <w:pStyle w:val="Normal"/>
        <w:ind w:left="0" w:right="0" w:firstLine="709"/>
        <w:jc w:val="both"/>
        <w:rPr/>
      </w:pPr>
      <w:r>
        <w:rPr>
          <w:rStyle w:val="Style14"/>
          <w:color w:val="000000"/>
          <w:sz w:val="28"/>
          <w:szCs w:val="28"/>
        </w:rPr>
        <w:t xml:space="preserve">71. Перевезення рідких відходів здійснюється спеціалізованими машинами, обладнаними терміналами автомобільної навігації із виведенням даних на центральний пункт диспетчеризації через </w:t>
      </w:r>
      <w:r>
        <w:rPr>
          <w:rStyle w:val="Style14"/>
          <w:color w:val="000000"/>
          <w:sz w:val="28"/>
          <w:szCs w:val="28"/>
          <w:lang w:val="en-US"/>
        </w:rPr>
        <w:t>GPS</w:t>
      </w:r>
      <w:r>
        <w:rPr>
          <w:rStyle w:val="Style14"/>
          <w:color w:val="000000"/>
          <w:sz w:val="28"/>
          <w:szCs w:val="28"/>
        </w:rPr>
        <w:t xml:space="preserve">-пристрої. Тернопільська міська рада забезпечує висвітлення роботи спеціалізованих машин за даними </w:t>
      </w:r>
      <w:r>
        <w:rPr>
          <w:rStyle w:val="Style14"/>
          <w:color w:val="000000"/>
          <w:sz w:val="28"/>
          <w:szCs w:val="28"/>
          <w:lang w:val="en-US"/>
        </w:rPr>
        <w:t>GPS-</w:t>
      </w:r>
      <w:r>
        <w:rPr>
          <w:rStyle w:val="Style14"/>
          <w:color w:val="000000"/>
          <w:sz w:val="28"/>
          <w:szCs w:val="28"/>
        </w:rPr>
        <w:t xml:space="preserve">пристроїв у мережі інтернет. Перевізники зобов'язані забезпечувати постійну цілодобову роботу </w:t>
      </w:r>
      <w:r>
        <w:rPr>
          <w:rStyle w:val="Style14"/>
          <w:color w:val="000000"/>
          <w:sz w:val="28"/>
          <w:szCs w:val="28"/>
          <w:lang w:val="en-US"/>
        </w:rPr>
        <w:t>GPS</w:t>
      </w:r>
      <w:r>
        <w:rPr>
          <w:rStyle w:val="Style14"/>
          <w:color w:val="000000"/>
          <w:sz w:val="28"/>
          <w:szCs w:val="28"/>
        </w:rPr>
        <w:t>-пристроїв.</w:t>
      </w:r>
    </w:p>
    <w:p>
      <w:pPr>
        <w:pStyle w:val="Normal"/>
        <w:ind w:left="0" w:right="0" w:firstLine="709"/>
        <w:jc w:val="both"/>
        <w:rPr>
          <w:color w:val="000000"/>
          <w:sz w:val="28"/>
          <w:szCs w:val="28"/>
        </w:rPr>
      </w:pPr>
      <w:r>
        <w:rPr>
          <w:color w:val="000000"/>
          <w:sz w:val="28"/>
          <w:szCs w:val="28"/>
        </w:rPr>
        <w:t>72. Перевізник зобов'язаний отримати в установах Держпродспоживслужби висновок відповідно до ст.33 Закону України “Про забезпечення санітарного та епідеміологічного благополуччя населення”, а також укласти з виробником договір на приймання та очищення рідких відходів.</w:t>
      </w:r>
    </w:p>
    <w:p>
      <w:pPr>
        <w:pStyle w:val="Normal"/>
        <w:ind w:left="0" w:right="0" w:firstLine="709"/>
        <w:jc w:val="both"/>
        <w:rPr/>
      </w:pPr>
      <w:r>
        <w:rPr>
          <w:rStyle w:val="Style14"/>
          <w:color w:val="000000"/>
          <w:sz w:val="28"/>
          <w:szCs w:val="28"/>
        </w:rPr>
        <w:t>73. Перевізник зобов'язаний щомісячно до 5 числа місяця, наступного за звітним, надавати виробнику інформацію про абонентів, що користуються його послугами, дані про якісний склад і об'єм їх стоків. У разі ненадання перевізником інформації про якісний склад стоків, для розрахунку оплати застосовується коефіцієнт кратності К</w:t>
      </w:r>
      <w:r>
        <w:rPr>
          <w:rStyle w:val="Style14"/>
          <w:color w:val="000000"/>
          <w:position w:val="-27"/>
          <w:sz w:val="18"/>
          <w:sz w:val="28"/>
          <w:szCs w:val="28"/>
        </w:rPr>
        <w:t>к</w:t>
      </w:r>
      <w:r>
        <w:rPr>
          <w:rStyle w:val="Style14"/>
          <w:color w:val="000000"/>
          <w:sz w:val="28"/>
          <w:szCs w:val="28"/>
        </w:rPr>
        <w:t>=5.</w:t>
      </w:r>
    </w:p>
    <w:p>
      <w:pPr>
        <w:pStyle w:val="Normal"/>
        <w:ind w:left="0" w:right="0" w:firstLine="709"/>
        <w:jc w:val="both"/>
        <w:rPr>
          <w:color w:val="000000"/>
          <w:sz w:val="28"/>
          <w:szCs w:val="28"/>
        </w:rPr>
      </w:pPr>
      <w:r>
        <w:rPr>
          <w:color w:val="000000"/>
          <w:sz w:val="28"/>
          <w:szCs w:val="28"/>
        </w:rPr>
        <w:t>74. Об'єм скинутих Перевізником стоків визначається за місткістю цистерни. При скиданні стічних вод асенізаційним транспортом застосовуються вимоги щодо якісного складу стічних вод.</w:t>
      </w:r>
    </w:p>
    <w:p>
      <w:pPr>
        <w:pStyle w:val="Normal"/>
        <w:ind w:left="0" w:right="0" w:firstLine="709"/>
        <w:jc w:val="both"/>
        <w:rPr/>
      </w:pPr>
      <w:r>
        <w:rPr>
          <w:rStyle w:val="Style14"/>
          <w:color w:val="000000"/>
          <w:sz w:val="28"/>
          <w:szCs w:val="28"/>
        </w:rPr>
        <w:t>Оплата проводиться відповідно до умов договору, але не пізніше 10 числа місяця, наступного за розрахунковим. За відсутності технічної можливості здійснити аналіз якісного складу стічних вод, при проведенні розрахунків застосовується коефіцієнт кратності К</w:t>
      </w:r>
      <w:r>
        <w:rPr>
          <w:rStyle w:val="Style14"/>
          <w:color w:val="000000"/>
          <w:position w:val="-27"/>
          <w:sz w:val="18"/>
          <w:sz w:val="28"/>
          <w:szCs w:val="28"/>
        </w:rPr>
        <w:t>к</w:t>
      </w:r>
      <w:r>
        <w:rPr>
          <w:rStyle w:val="Style14"/>
          <w:color w:val="000000"/>
          <w:sz w:val="28"/>
          <w:szCs w:val="28"/>
        </w:rPr>
        <w:t>=5.</w:t>
      </w:r>
    </w:p>
    <w:p>
      <w:pPr>
        <w:pStyle w:val="Normal"/>
        <w:ind w:left="0" w:right="0" w:firstLine="709"/>
        <w:jc w:val="both"/>
        <w:rPr>
          <w:color w:val="000000"/>
          <w:sz w:val="28"/>
          <w:szCs w:val="28"/>
        </w:rPr>
      </w:pPr>
      <w:r>
        <w:rPr>
          <w:color w:val="000000"/>
          <w:sz w:val="28"/>
          <w:szCs w:val="28"/>
        </w:rPr>
        <w:t>75. Для вивозу рідких відходів між Перевізником і Абонентом укладається договір на відкачку та транспортування рідких відходів.</w:t>
      </w:r>
    </w:p>
    <w:p>
      <w:pPr>
        <w:pStyle w:val="Normal"/>
        <w:ind w:left="0" w:right="0" w:firstLine="709"/>
        <w:jc w:val="both"/>
        <w:rPr>
          <w:color w:val="000000"/>
          <w:sz w:val="28"/>
          <w:szCs w:val="28"/>
        </w:rPr>
      </w:pPr>
      <w:r>
        <w:rPr>
          <w:color w:val="000000"/>
          <w:sz w:val="28"/>
          <w:szCs w:val="28"/>
        </w:rPr>
        <w:t>76. Перевезення рідких відходів здійснюється тільки спеціалізованими машинами.</w:t>
      </w:r>
    </w:p>
    <w:p>
      <w:pPr>
        <w:pStyle w:val="Normal"/>
        <w:ind w:left="0" w:right="0" w:firstLine="709"/>
        <w:jc w:val="both"/>
        <w:rPr/>
      </w:pPr>
      <w:r>
        <w:rPr>
          <w:rStyle w:val="Style14"/>
          <w:color w:val="000000"/>
          <w:sz w:val="28"/>
          <w:szCs w:val="28"/>
        </w:rPr>
        <w:t>77. У разі порушення Перевізником вимог цих Правил, він сплачує виробнику вартість послуг за приймання та очищення стічних вод з коефіцієнтом кратності К</w:t>
      </w:r>
      <w:r>
        <w:rPr>
          <w:rStyle w:val="Style14"/>
          <w:color w:val="000000"/>
          <w:position w:val="-27"/>
          <w:sz w:val="18"/>
          <w:sz w:val="28"/>
          <w:szCs w:val="28"/>
        </w:rPr>
        <w:t>к</w:t>
      </w:r>
      <w:r>
        <w:rPr>
          <w:rStyle w:val="Style14"/>
          <w:color w:val="000000"/>
          <w:sz w:val="28"/>
          <w:szCs w:val="28"/>
        </w:rPr>
        <w:t>=5.</w:t>
      </w:r>
    </w:p>
    <w:p>
      <w:pPr>
        <w:pStyle w:val="Normal"/>
        <w:ind w:left="0" w:right="0" w:firstLine="709"/>
        <w:jc w:val="both"/>
        <w:rPr>
          <w:color w:val="000000"/>
          <w:sz w:val="28"/>
          <w:szCs w:val="28"/>
        </w:rPr>
      </w:pPr>
      <w:r>
        <w:rPr>
          <w:color w:val="000000"/>
          <w:sz w:val="28"/>
          <w:szCs w:val="28"/>
        </w:rPr>
        <w:t>78. Абоненти, які не приєднані до системи централізованого водовідведення, зобов'язані надавати виробнику копію Договору на відкачку та транспортування рідких відходів з Перевізником, а також до 10 числа місяця, наступного за звітним, подавати виробнику інформацію про об'єми вивезених стоків у звітному місяці.</w:t>
      </w:r>
    </w:p>
    <w:p>
      <w:pPr>
        <w:pStyle w:val="Normal"/>
        <w:ind w:left="0" w:right="0" w:firstLine="709"/>
        <w:jc w:val="both"/>
        <w:rPr>
          <w:color w:val="000000"/>
          <w:sz w:val="28"/>
          <w:szCs w:val="28"/>
        </w:rPr>
      </w:pPr>
      <w:r>
        <w:rPr>
          <w:color w:val="000000"/>
          <w:sz w:val="28"/>
          <w:szCs w:val="28"/>
        </w:rPr>
        <w:t>У разі неподання Абонентом такої інформації, виробник проводить нарахування плати за водовідведення в обсязі спожитих послуг з водопостачання з усіх джерел водокористування.</w:t>
      </w:r>
      <w:r>
        <w:br w:type="page"/>
      </w:r>
    </w:p>
    <w:p>
      <w:pPr>
        <w:pStyle w:val="Normal"/>
        <w:ind w:left="0" w:right="0" w:firstLine="709"/>
        <w:jc w:val="right"/>
        <w:rPr>
          <w:b/>
          <w:b/>
          <w:color w:val="000000"/>
          <w:sz w:val="28"/>
          <w:szCs w:val="28"/>
        </w:rPr>
      </w:pPr>
      <w:r>
        <w:rPr>
          <w:b/>
          <w:color w:val="000000"/>
          <w:sz w:val="28"/>
          <w:szCs w:val="28"/>
        </w:rPr>
        <w:t>Додаток 1</w:t>
      </w:r>
    </w:p>
    <w:p>
      <w:pPr>
        <w:pStyle w:val="Style22"/>
        <w:widowControl/>
        <w:spacing w:before="0" w:after="0"/>
        <w:ind w:left="0" w:right="0" w:firstLine="709"/>
        <w:jc w:val="right"/>
        <w:rPr/>
      </w:pPr>
      <w:r>
        <w:rPr>
          <w:rStyle w:val="Style14"/>
          <w:b/>
          <w:color w:val="000000"/>
          <w:sz w:val="28"/>
          <w:szCs w:val="28"/>
        </w:rPr>
        <w:t>до Місцевих правил</w:t>
      </w:r>
      <w:r>
        <w:rPr>
          <w:rStyle w:val="Style14"/>
          <w:color w:val="000000"/>
          <w:sz w:val="28"/>
          <w:szCs w:val="28"/>
        </w:rPr>
        <w:t xml:space="preserve"> </w:t>
      </w:r>
      <w:r>
        <w:rPr>
          <w:rStyle w:val="Style14"/>
          <w:b/>
          <w:color w:val="000000"/>
          <w:sz w:val="28"/>
          <w:szCs w:val="28"/>
        </w:rPr>
        <w:t>приймання</w:t>
      </w:r>
    </w:p>
    <w:p>
      <w:pPr>
        <w:pStyle w:val="Style22"/>
        <w:widowControl/>
        <w:spacing w:before="0" w:after="0"/>
        <w:ind w:left="0" w:right="0" w:firstLine="709"/>
        <w:jc w:val="right"/>
        <w:rPr>
          <w:b/>
          <w:b/>
          <w:color w:val="000000"/>
          <w:sz w:val="28"/>
          <w:szCs w:val="28"/>
        </w:rPr>
      </w:pPr>
      <w:r>
        <w:rPr>
          <w:b/>
          <w:color w:val="000000"/>
          <w:sz w:val="28"/>
          <w:szCs w:val="28"/>
        </w:rPr>
        <w:t>стічних вод до систем централізованого</w:t>
      </w:r>
    </w:p>
    <w:p>
      <w:pPr>
        <w:pStyle w:val="Style22"/>
        <w:widowControl/>
        <w:spacing w:before="0" w:after="0"/>
        <w:ind w:left="0" w:right="0" w:firstLine="709"/>
        <w:jc w:val="right"/>
        <w:rPr>
          <w:b/>
          <w:b/>
          <w:color w:val="000000"/>
          <w:sz w:val="28"/>
          <w:szCs w:val="28"/>
        </w:rPr>
      </w:pPr>
      <w:r>
        <w:rPr>
          <w:b/>
          <w:color w:val="000000"/>
          <w:sz w:val="28"/>
          <w:szCs w:val="28"/>
        </w:rPr>
        <w:t>водовідведення міста Тернопіль</w:t>
      </w:r>
    </w:p>
    <w:p>
      <w:pPr>
        <w:pStyle w:val="Style22"/>
        <w:widowControl/>
        <w:spacing w:before="0" w:after="0"/>
        <w:ind w:left="0" w:right="0" w:firstLine="709"/>
        <w:jc w:val="center"/>
        <w:rPr>
          <w:b/>
          <w:b/>
          <w:color w:val="000000"/>
          <w:sz w:val="28"/>
          <w:szCs w:val="28"/>
        </w:rPr>
      </w:pPr>
      <w:r>
        <w:rPr>
          <w:b/>
          <w:color w:val="000000"/>
          <w:sz w:val="28"/>
          <w:szCs w:val="28"/>
        </w:rPr>
      </w:r>
    </w:p>
    <w:p>
      <w:pPr>
        <w:pStyle w:val="Style22"/>
        <w:widowControl/>
        <w:spacing w:before="0" w:after="0"/>
        <w:ind w:left="0" w:right="0" w:firstLine="709"/>
        <w:jc w:val="center"/>
        <w:rPr>
          <w:b/>
          <w:b/>
          <w:color w:val="000000"/>
          <w:sz w:val="28"/>
          <w:szCs w:val="28"/>
        </w:rPr>
      </w:pPr>
      <w:bookmarkStart w:id="97" w:name="n163"/>
      <w:bookmarkEnd w:id="97"/>
      <w:r>
        <w:rPr>
          <w:b/>
          <w:color w:val="000000"/>
          <w:sz w:val="28"/>
          <w:szCs w:val="28"/>
        </w:rPr>
        <w:t>ПЕРЕЛІК</w:t>
      </w:r>
    </w:p>
    <w:p>
      <w:pPr>
        <w:pStyle w:val="Style22"/>
        <w:widowControl/>
        <w:spacing w:before="0" w:after="0"/>
        <w:ind w:left="0" w:right="0" w:firstLine="709"/>
        <w:jc w:val="center"/>
        <w:rPr>
          <w:b/>
          <w:b/>
          <w:color w:val="000000"/>
          <w:sz w:val="28"/>
          <w:szCs w:val="28"/>
        </w:rPr>
      </w:pPr>
      <w:r>
        <w:rPr>
          <w:b/>
          <w:color w:val="000000"/>
          <w:sz w:val="28"/>
          <w:szCs w:val="28"/>
        </w:rPr>
        <w:t>виробничих процесів, під час здійснення яких споживач повинен мати локальні очисні споруди для попереднього очищення стічних вод перед їх скиданням до системи централізованого водовідведення та очищення стічних вод</w:t>
      </w:r>
    </w:p>
    <w:p>
      <w:pPr>
        <w:pStyle w:val="Style22"/>
        <w:widowControl/>
        <w:spacing w:before="0" w:after="0"/>
        <w:ind w:left="0" w:right="0" w:firstLine="709"/>
        <w:jc w:val="both"/>
        <w:rPr>
          <w:color w:val="000000"/>
          <w:sz w:val="28"/>
          <w:szCs w:val="28"/>
        </w:rPr>
      </w:pPr>
      <w:r>
        <w:rPr>
          <w:color w:val="000000"/>
          <w:sz w:val="28"/>
          <w:szCs w:val="28"/>
        </w:rPr>
      </w:r>
    </w:p>
    <w:p>
      <w:pPr>
        <w:pStyle w:val="Style22"/>
        <w:widowControl/>
        <w:spacing w:before="0" w:after="0"/>
        <w:ind w:left="0" w:right="0" w:firstLine="709"/>
        <w:jc w:val="both"/>
        <w:rPr>
          <w:color w:val="000000"/>
          <w:sz w:val="28"/>
          <w:szCs w:val="28"/>
        </w:rPr>
      </w:pPr>
      <w:bookmarkStart w:id="98" w:name="n164"/>
      <w:bookmarkEnd w:id="98"/>
      <w:r>
        <w:rPr>
          <w:color w:val="000000"/>
          <w:sz w:val="28"/>
          <w:szCs w:val="28"/>
        </w:rPr>
        <w:t>1. Нафтопереробка, хімічний та органічний синтез, фармацевтичне виробництво.</w:t>
      </w:r>
    </w:p>
    <w:p>
      <w:pPr>
        <w:pStyle w:val="Style22"/>
        <w:widowControl/>
        <w:spacing w:before="0" w:after="0"/>
        <w:ind w:left="0" w:right="0" w:firstLine="709"/>
        <w:jc w:val="both"/>
        <w:rPr>
          <w:color w:val="000000"/>
          <w:sz w:val="28"/>
          <w:szCs w:val="28"/>
        </w:rPr>
      </w:pPr>
      <w:bookmarkStart w:id="99" w:name="n165"/>
      <w:bookmarkEnd w:id="99"/>
      <w:r>
        <w:rPr>
          <w:color w:val="000000"/>
          <w:sz w:val="28"/>
          <w:szCs w:val="28"/>
        </w:rPr>
        <w:t>2. Целюлозно-паперове і картонне виробництво.</w:t>
      </w:r>
    </w:p>
    <w:p>
      <w:pPr>
        <w:pStyle w:val="Style22"/>
        <w:widowControl/>
        <w:spacing w:before="0" w:after="0"/>
        <w:ind w:left="0" w:right="0" w:firstLine="709"/>
        <w:jc w:val="both"/>
        <w:rPr>
          <w:color w:val="000000"/>
          <w:sz w:val="28"/>
          <w:szCs w:val="28"/>
        </w:rPr>
      </w:pPr>
      <w:bookmarkStart w:id="100" w:name="n166"/>
      <w:bookmarkEnd w:id="100"/>
      <w:r>
        <w:rPr>
          <w:color w:val="000000"/>
          <w:sz w:val="28"/>
          <w:szCs w:val="28"/>
        </w:rPr>
        <w:t>3. Спиртове, дріжджове, кондитерське, крохмалепатокове, маслоробне виробництво, виробництво пива безалкогольного (включаючи солодове), переробка молока, риби, м'яса (включаючи скотобійні), фруктів і овочів.</w:t>
      </w:r>
    </w:p>
    <w:p>
      <w:pPr>
        <w:pStyle w:val="Style22"/>
        <w:widowControl/>
        <w:spacing w:before="0" w:after="0"/>
        <w:ind w:left="0" w:right="0" w:firstLine="709"/>
        <w:jc w:val="both"/>
        <w:rPr>
          <w:color w:val="000000"/>
          <w:sz w:val="28"/>
          <w:szCs w:val="28"/>
        </w:rPr>
      </w:pPr>
      <w:bookmarkStart w:id="101" w:name="n167"/>
      <w:bookmarkEnd w:id="101"/>
      <w:r>
        <w:rPr>
          <w:color w:val="000000"/>
          <w:sz w:val="28"/>
          <w:szCs w:val="28"/>
        </w:rPr>
        <w:t>4. Вирощування худоби та птиці, шкіряна промисловість.</w:t>
      </w:r>
    </w:p>
    <w:p>
      <w:pPr>
        <w:pStyle w:val="Style22"/>
        <w:widowControl/>
        <w:spacing w:before="0" w:after="0"/>
        <w:ind w:left="0" w:right="0" w:firstLine="709"/>
        <w:jc w:val="both"/>
        <w:rPr>
          <w:color w:val="000000"/>
          <w:sz w:val="28"/>
          <w:szCs w:val="28"/>
        </w:rPr>
      </w:pPr>
      <w:bookmarkStart w:id="102" w:name="n168"/>
      <w:bookmarkEnd w:id="102"/>
      <w:r>
        <w:rPr>
          <w:color w:val="000000"/>
          <w:sz w:val="28"/>
          <w:szCs w:val="28"/>
        </w:rPr>
        <w:t>5. Гальванічне виробництво.</w:t>
      </w:r>
    </w:p>
    <w:p>
      <w:pPr>
        <w:pStyle w:val="Style22"/>
        <w:widowControl/>
        <w:spacing w:before="0" w:after="0"/>
        <w:ind w:left="0" w:right="0" w:firstLine="709"/>
        <w:jc w:val="both"/>
        <w:rPr>
          <w:color w:val="000000"/>
          <w:sz w:val="28"/>
          <w:szCs w:val="28"/>
        </w:rPr>
      </w:pPr>
      <w:bookmarkStart w:id="103" w:name="n169"/>
      <w:bookmarkEnd w:id="103"/>
      <w:r>
        <w:rPr>
          <w:color w:val="000000"/>
          <w:sz w:val="28"/>
          <w:szCs w:val="28"/>
        </w:rPr>
        <w:t>6. Машинобудування і металообробка.</w:t>
      </w:r>
    </w:p>
    <w:p>
      <w:pPr>
        <w:pStyle w:val="Style22"/>
        <w:widowControl/>
        <w:spacing w:before="0" w:after="0"/>
        <w:ind w:left="0" w:right="0" w:firstLine="709"/>
        <w:jc w:val="both"/>
        <w:rPr>
          <w:color w:val="000000"/>
          <w:sz w:val="28"/>
          <w:szCs w:val="28"/>
        </w:rPr>
      </w:pPr>
      <w:bookmarkStart w:id="104" w:name="n170"/>
      <w:bookmarkEnd w:id="104"/>
      <w:r>
        <w:rPr>
          <w:color w:val="000000"/>
          <w:sz w:val="28"/>
          <w:szCs w:val="28"/>
        </w:rPr>
        <w:t>7. Металургія чорна та кольорова.</w:t>
      </w:r>
    </w:p>
    <w:p>
      <w:pPr>
        <w:pStyle w:val="Style22"/>
        <w:widowControl/>
        <w:spacing w:before="0" w:after="0"/>
        <w:ind w:left="0" w:right="0" w:firstLine="709"/>
        <w:jc w:val="both"/>
        <w:rPr>
          <w:color w:val="000000"/>
          <w:sz w:val="28"/>
          <w:szCs w:val="28"/>
        </w:rPr>
      </w:pPr>
      <w:bookmarkStart w:id="105" w:name="n171"/>
      <w:bookmarkEnd w:id="105"/>
      <w:r>
        <w:rPr>
          <w:color w:val="000000"/>
          <w:sz w:val="28"/>
          <w:szCs w:val="28"/>
        </w:rPr>
        <w:t>8. Виробництво будівельних матеріалів і конструкцій, скла та скловиробів, керамічних виробів.</w:t>
      </w:r>
    </w:p>
    <w:p>
      <w:pPr>
        <w:pStyle w:val="Style22"/>
        <w:widowControl/>
        <w:spacing w:before="0" w:after="0"/>
        <w:ind w:left="0" w:right="0" w:firstLine="709"/>
        <w:jc w:val="both"/>
        <w:rPr>
          <w:color w:val="000000"/>
          <w:sz w:val="28"/>
          <w:szCs w:val="28"/>
        </w:rPr>
      </w:pPr>
      <w:bookmarkStart w:id="106" w:name="n172"/>
      <w:bookmarkEnd w:id="106"/>
      <w:r>
        <w:rPr>
          <w:color w:val="000000"/>
          <w:sz w:val="28"/>
          <w:szCs w:val="28"/>
        </w:rPr>
        <w:t>9. Виробництво лакофарбових матеріалів, синтетичних поверхневоактивних речовин.</w:t>
      </w:r>
    </w:p>
    <w:p>
      <w:pPr>
        <w:pStyle w:val="Style22"/>
        <w:widowControl/>
        <w:spacing w:before="0" w:after="0"/>
        <w:ind w:left="0" w:right="0" w:firstLine="709"/>
        <w:jc w:val="both"/>
        <w:rPr>
          <w:color w:val="000000"/>
          <w:sz w:val="28"/>
          <w:szCs w:val="28"/>
        </w:rPr>
      </w:pPr>
      <w:bookmarkStart w:id="107" w:name="n173"/>
      <w:bookmarkEnd w:id="107"/>
      <w:r>
        <w:rPr>
          <w:color w:val="000000"/>
          <w:sz w:val="28"/>
          <w:szCs w:val="28"/>
        </w:rPr>
        <w:t>10. Обробка поверхонь, предметів чи продукції з використанням органічних розчинників.</w:t>
      </w:r>
    </w:p>
    <w:p>
      <w:pPr>
        <w:pStyle w:val="Style22"/>
        <w:widowControl/>
        <w:spacing w:before="0" w:after="0"/>
        <w:ind w:left="0" w:right="0" w:firstLine="709"/>
        <w:jc w:val="both"/>
        <w:rPr>
          <w:color w:val="000000"/>
          <w:sz w:val="28"/>
          <w:szCs w:val="28"/>
        </w:rPr>
      </w:pPr>
      <w:bookmarkStart w:id="108" w:name="n174"/>
      <w:bookmarkEnd w:id="108"/>
      <w:r>
        <w:rPr>
          <w:color w:val="000000"/>
          <w:sz w:val="28"/>
          <w:szCs w:val="28"/>
        </w:rPr>
        <w:t>11. Виробничі процеси, під час яких використовуються або утворюються такі речовини:</w:t>
      </w:r>
    </w:p>
    <w:p>
      <w:pPr>
        <w:pStyle w:val="Style22"/>
        <w:widowControl/>
        <w:spacing w:before="0" w:after="0"/>
        <w:ind w:left="0" w:right="0" w:firstLine="709"/>
        <w:jc w:val="both"/>
        <w:rPr/>
      </w:pPr>
      <w:bookmarkStart w:id="109" w:name="n175"/>
      <w:bookmarkEnd w:id="109"/>
      <w:r>
        <w:rPr>
          <w:rStyle w:val="Style14"/>
          <w:color w:val="000000"/>
          <w:sz w:val="28"/>
          <w:szCs w:val="28"/>
        </w:rPr>
        <w:t>неемульговані жири, харчові відходи, нафтопродукти, кислоти і луги, а також їх розчини, іони важких металів, сполуки миш'яку і ртуті, вільний сірководень та вільні сульфід-іони, меркаптани, а також відновлені сірчані сполуки (сульфіти, тіосульфати, елементарна сірка), сірковуглець, ціановодень, ароматичні вуглеводні, органічні розчинники, летючі органічні сполуки (толуол, бензол, ацетон, метанол, бутанол, пропанол, їх ізомери і алкіл похідні), хлорорганічні сполуки, 2, 4, 6-трихлорфенол, дихлорметан, дихлоретан, пентахлорфенол, поліхлорбіфеніли (сума ПХБ) і поліхлортерфеніли (сума ПХТ), тетрахлоретилен, трихлоретилен, триетиламін, хлороформ (трихлорметан), тетрахлорметан, чотирихлористий вуглець, бензопірен, етилбензол (фенілетан), діоксини, синтетичні поверхнево активні речовини, що не піддаються біологічному окисненню, біологічно неокиснювані барвники натурального, штучного і синтетичного походження, біологічно резистентні пестициди, осідаючі мінеральні включення гідравлічною крупністю більше 2 мм/с, спливаючі речовини (включення) гравітаційною крупністю більше 20 мм/с, волокнисті включення, в тому числі пряжа, ворс, волосся, шерсть, пероактивний хлор більше 5 мг/дм</w:t>
      </w:r>
      <w:r>
        <w:rPr>
          <w:rStyle w:val="Style14"/>
          <w:b/>
          <w:color w:val="000000"/>
          <w:sz w:val="28"/>
          <w:szCs w:val="28"/>
        </w:rPr>
        <w:t>-3</w:t>
      </w:r>
      <w:r>
        <w:rPr>
          <w:rStyle w:val="Style14"/>
          <w:color w:val="000000"/>
          <w:sz w:val="28"/>
          <w:szCs w:val="28"/>
        </w:rPr>
        <w:t>, за винятком випадків введення на об'єкті водовідведення санітарного карантину, радіонукліди.</w:t>
      </w:r>
      <w:r>
        <w:br w:type="page"/>
      </w:r>
    </w:p>
    <w:p>
      <w:pPr>
        <w:pStyle w:val="Style22"/>
        <w:widowControl/>
        <w:spacing w:before="0" w:after="0"/>
        <w:ind w:left="0" w:right="0" w:firstLine="709"/>
        <w:jc w:val="right"/>
        <w:rPr>
          <w:b/>
          <w:b/>
          <w:color w:val="000000"/>
          <w:sz w:val="28"/>
          <w:szCs w:val="28"/>
        </w:rPr>
      </w:pPr>
      <w:r>
        <w:rPr>
          <w:b/>
          <w:color w:val="000000"/>
          <w:sz w:val="28"/>
          <w:szCs w:val="28"/>
        </w:rPr>
        <w:t>Додаток 2</w:t>
      </w:r>
    </w:p>
    <w:p>
      <w:pPr>
        <w:pStyle w:val="Style22"/>
        <w:widowControl/>
        <w:spacing w:before="0" w:after="0"/>
        <w:ind w:left="0" w:right="0" w:firstLine="709"/>
        <w:jc w:val="right"/>
        <w:rPr/>
      </w:pPr>
      <w:r>
        <w:rPr>
          <w:rStyle w:val="Style14"/>
          <w:b/>
          <w:color w:val="000000"/>
          <w:sz w:val="28"/>
          <w:szCs w:val="28"/>
        </w:rPr>
        <w:t>до Місцевих правил</w:t>
      </w:r>
      <w:r>
        <w:rPr>
          <w:rStyle w:val="Style14"/>
          <w:color w:val="000000"/>
          <w:sz w:val="28"/>
          <w:szCs w:val="28"/>
        </w:rPr>
        <w:t xml:space="preserve"> </w:t>
      </w:r>
      <w:r>
        <w:rPr>
          <w:rStyle w:val="Style14"/>
          <w:b/>
          <w:color w:val="000000"/>
          <w:sz w:val="28"/>
          <w:szCs w:val="28"/>
        </w:rPr>
        <w:t>приймання</w:t>
      </w:r>
    </w:p>
    <w:p>
      <w:pPr>
        <w:pStyle w:val="Style22"/>
        <w:widowControl/>
        <w:spacing w:before="0" w:after="0"/>
        <w:ind w:left="0" w:right="0" w:firstLine="709"/>
        <w:jc w:val="right"/>
        <w:rPr>
          <w:b/>
          <w:b/>
          <w:color w:val="000000"/>
          <w:sz w:val="28"/>
          <w:szCs w:val="28"/>
        </w:rPr>
      </w:pPr>
      <w:r>
        <w:rPr>
          <w:b/>
          <w:color w:val="000000"/>
          <w:sz w:val="28"/>
          <w:szCs w:val="28"/>
        </w:rPr>
        <w:t>стічних вод до систем централізованого</w:t>
      </w:r>
    </w:p>
    <w:p>
      <w:pPr>
        <w:pStyle w:val="Style22"/>
        <w:widowControl/>
        <w:spacing w:before="0" w:after="0"/>
        <w:ind w:left="0" w:right="0" w:firstLine="709"/>
        <w:jc w:val="right"/>
        <w:rPr>
          <w:b/>
          <w:b/>
          <w:color w:val="000000"/>
          <w:sz w:val="28"/>
          <w:szCs w:val="28"/>
        </w:rPr>
      </w:pPr>
      <w:r>
        <w:rPr>
          <w:b/>
          <w:color w:val="000000"/>
          <w:sz w:val="28"/>
          <w:szCs w:val="28"/>
        </w:rPr>
        <w:t>водовідведення міста Тернопіль</w:t>
      </w:r>
    </w:p>
    <w:p>
      <w:pPr>
        <w:pStyle w:val="Style22"/>
        <w:widowControl/>
        <w:spacing w:before="0" w:after="0"/>
        <w:ind w:left="0" w:right="0" w:firstLine="709"/>
        <w:jc w:val="center"/>
        <w:rPr>
          <w:b/>
          <w:b/>
          <w:color w:val="000000"/>
          <w:sz w:val="28"/>
          <w:szCs w:val="28"/>
        </w:rPr>
      </w:pPr>
      <w:r>
        <w:rPr>
          <w:b/>
          <w:color w:val="000000"/>
          <w:sz w:val="28"/>
          <w:szCs w:val="28"/>
        </w:rPr>
      </w:r>
    </w:p>
    <w:p>
      <w:pPr>
        <w:pStyle w:val="Style22"/>
        <w:widowControl/>
        <w:spacing w:before="0" w:after="0"/>
        <w:ind w:left="0" w:right="0" w:firstLine="709"/>
        <w:jc w:val="center"/>
        <w:rPr>
          <w:b/>
          <w:b/>
          <w:color w:val="000000"/>
          <w:sz w:val="28"/>
          <w:szCs w:val="28"/>
        </w:rPr>
      </w:pPr>
      <w:bookmarkStart w:id="110" w:name="n177"/>
      <w:bookmarkEnd w:id="110"/>
      <w:r>
        <w:rPr>
          <w:b/>
          <w:color w:val="000000"/>
          <w:sz w:val="28"/>
          <w:szCs w:val="28"/>
        </w:rPr>
        <w:t>ПЕРЕЛІК</w:t>
      </w:r>
    </w:p>
    <w:p>
      <w:pPr>
        <w:pStyle w:val="Style22"/>
        <w:widowControl/>
        <w:spacing w:before="0" w:after="0"/>
        <w:ind w:left="0" w:right="0" w:firstLine="709"/>
        <w:jc w:val="center"/>
        <w:rPr>
          <w:b/>
          <w:b/>
          <w:color w:val="000000"/>
          <w:sz w:val="28"/>
          <w:szCs w:val="28"/>
        </w:rPr>
      </w:pPr>
      <w:r>
        <w:rPr>
          <w:b/>
          <w:color w:val="000000"/>
          <w:sz w:val="28"/>
          <w:szCs w:val="28"/>
        </w:rPr>
        <w:t>забруднюючих речовин, що заборонені до скидання до системи централізованого водовідведення</w:t>
      </w:r>
    </w:p>
    <w:p>
      <w:pPr>
        <w:pStyle w:val="Style22"/>
        <w:widowControl/>
        <w:spacing w:before="0" w:after="0"/>
        <w:ind w:left="0" w:right="0" w:firstLine="709"/>
        <w:jc w:val="both"/>
        <w:rPr>
          <w:color w:val="000000"/>
          <w:sz w:val="28"/>
          <w:szCs w:val="28"/>
        </w:rPr>
      </w:pPr>
      <w:bookmarkStart w:id="111" w:name="n178"/>
      <w:bookmarkEnd w:id="111"/>
      <w:r>
        <w:rPr>
          <w:color w:val="000000"/>
          <w:sz w:val="28"/>
          <w:szCs w:val="28"/>
        </w:rPr>
        <w:t>1. Речовини, що здатні утворювати в системі централізованого водовідведення вибухонебезпечні, токсичні та (або) горючі гази, органічні розчинники, горючі і вибухонебезпечні речовини (нафта, бензин, гас, ацетон тощо) в концентраціях, що перевищують максимально допустимі концентрації забруднюючих речовин у стічних водах, дозволених до скидання в системи централізованого водовідведення, синтетичні і натуральні смоли, масла, лакофарбові матеріали та відходи, продукти і відходи нафтопереробки, органічного синтезу, мастильно-охолоджуючі рідини, вміст засобів і систем пожежогасіння (крім використання для гасіння загорянь).</w:t>
      </w:r>
    </w:p>
    <w:p>
      <w:pPr>
        <w:pStyle w:val="Style22"/>
        <w:widowControl/>
        <w:spacing w:before="0" w:after="0"/>
        <w:ind w:left="0" w:right="0" w:firstLine="709"/>
        <w:jc w:val="both"/>
        <w:rPr>
          <w:color w:val="000000"/>
          <w:sz w:val="28"/>
          <w:szCs w:val="28"/>
        </w:rPr>
      </w:pPr>
      <w:bookmarkStart w:id="112" w:name="n179"/>
      <w:bookmarkEnd w:id="112"/>
      <w:r>
        <w:rPr>
          <w:color w:val="000000"/>
          <w:sz w:val="28"/>
          <w:szCs w:val="28"/>
        </w:rPr>
        <w:t>2. Розчини кислот з pH &lt; 5,0 і лугів з pH &gt; 10,0.</w:t>
      </w:r>
    </w:p>
    <w:p>
      <w:pPr>
        <w:pStyle w:val="Style22"/>
        <w:widowControl/>
        <w:spacing w:before="0" w:after="0"/>
        <w:ind w:left="0" w:right="0" w:firstLine="709"/>
        <w:jc w:val="both"/>
        <w:rPr>
          <w:color w:val="000000"/>
          <w:sz w:val="28"/>
          <w:szCs w:val="28"/>
        </w:rPr>
      </w:pPr>
      <w:bookmarkStart w:id="113" w:name="n180"/>
      <w:bookmarkEnd w:id="113"/>
      <w:r>
        <w:rPr>
          <w:color w:val="000000"/>
          <w:sz w:val="28"/>
          <w:szCs w:val="28"/>
        </w:rPr>
        <w:t>3. Погано пахучі та інші леткі речовини в кількості, що призводить до забруднення атмосфери робочої зони в каналізаційних насосних станціях, в інших виробничих приміщеннях системи водовідведення виробника, на території очисних споруд, понад встановлені для атмосфери робочої зони гранично допустимі концентрації.</w:t>
      </w:r>
    </w:p>
    <w:p>
      <w:pPr>
        <w:pStyle w:val="Style22"/>
        <w:widowControl/>
        <w:spacing w:before="0" w:after="0"/>
        <w:ind w:left="0" w:right="0" w:firstLine="709"/>
        <w:jc w:val="both"/>
        <w:rPr>
          <w:color w:val="000000"/>
          <w:sz w:val="28"/>
          <w:szCs w:val="28"/>
        </w:rPr>
      </w:pPr>
      <w:bookmarkStart w:id="114" w:name="n181"/>
      <w:bookmarkEnd w:id="114"/>
      <w:r>
        <w:rPr>
          <w:color w:val="000000"/>
          <w:sz w:val="28"/>
          <w:szCs w:val="28"/>
        </w:rPr>
        <w:t>4. Радіоактивні речовини понад гранично допустимий рівень безпечного вмісту в навколишньому середовищі, що затверджується центральним органом виконавчої влади, що забезпечує формування і реалізує державну політику у сфері охорони навколишнього природного середовища та екологічної безпеки, речовини, які не можуть бути затримані в технологічному процесі очищення стічних вод очисними спорудами виробника, що мають підвищену токсичність, здатність накопичуватися в організмі людини, що відзначаються віддаленими біологічними ефектами та (або) утворюють небезпечні речовини під час трансформації у воді і в організмах людини і тварин, у тому числі моно- і поліциклічні хлорорганічні, фосфорорганічні, азоторганічні і сіркоорганічні речовини, біологічно жорсткі поверхнево активні речовини, отрутохімікати, сильнодіючі отруйні речовини в концентрації, що перевищує більше ніж у 4 рази мінімальну гранично допустиму концентрацію, що встановлена для цих речовин у воді водних об'єктів, медичні відходи класів Б, В, Г, епідеміологічно небезпечні бактеріальні та вірусні забруднення (за винятком речовин, скидання яких дозволено санітарно-епідеміологічними вимогами).</w:t>
      </w:r>
    </w:p>
    <w:p>
      <w:pPr>
        <w:pStyle w:val="Style22"/>
        <w:widowControl/>
        <w:spacing w:before="0" w:after="0"/>
        <w:ind w:left="0" w:right="0" w:firstLine="709"/>
        <w:jc w:val="both"/>
        <w:rPr>
          <w:color w:val="000000"/>
          <w:sz w:val="28"/>
          <w:szCs w:val="28"/>
        </w:rPr>
      </w:pPr>
      <w:bookmarkStart w:id="115" w:name="n182"/>
      <w:bookmarkEnd w:id="115"/>
      <w:r>
        <w:rPr>
          <w:color w:val="000000"/>
          <w:sz w:val="28"/>
          <w:szCs w:val="28"/>
        </w:rPr>
        <w:t>5. Концентровані маткові розчини та кубові залишки, гальванічні розчини (електроліти) як вихідні, так і відпрацьовані, осади (шлами) локальних очисних споруд, осади відстійників, пасток, фільтрів, відходи очищення повітря (пилогазоочисного обладнання), осади станцій технічної водопідготовки, в тому числі котелень, теплоелектростанцій, іонообмінні смоли, активоване вугілля, концентровані розчини регенерації систем водопідготовки, концентрат, що утворюється під час роботи установок очищення води з використанням мембранних технологій (зокрема зворотного осмосу), хімічні реактиви та реагенти.</w:t>
      </w:r>
    </w:p>
    <w:p>
      <w:pPr>
        <w:pStyle w:val="Style22"/>
        <w:widowControl/>
        <w:spacing w:before="0" w:after="0"/>
        <w:ind w:left="0" w:right="0" w:firstLine="709"/>
        <w:jc w:val="both"/>
        <w:rPr>
          <w:color w:val="000000"/>
          <w:sz w:val="28"/>
          <w:szCs w:val="28"/>
        </w:rPr>
      </w:pPr>
      <w:bookmarkStart w:id="116" w:name="n183"/>
      <w:bookmarkEnd w:id="116"/>
      <w:r>
        <w:rPr>
          <w:color w:val="000000"/>
          <w:sz w:val="28"/>
          <w:szCs w:val="28"/>
        </w:rPr>
        <w:t>6. Будь-які тверді відходи боєнь та переробки м'яса, канига, цільна кров, відходи обробки шкіри, відходи тваринництва та птахівництва, включаючи фекалії.</w:t>
      </w:r>
    </w:p>
    <w:p>
      <w:pPr>
        <w:pStyle w:val="Style22"/>
        <w:widowControl/>
        <w:spacing w:before="0" w:after="0"/>
        <w:ind w:left="0" w:right="0" w:firstLine="709"/>
        <w:jc w:val="both"/>
        <w:rPr>
          <w:color w:val="000000"/>
          <w:sz w:val="28"/>
          <w:szCs w:val="28"/>
        </w:rPr>
      </w:pPr>
      <w:bookmarkStart w:id="117" w:name="n184"/>
      <w:bookmarkEnd w:id="117"/>
      <w:r>
        <w:rPr>
          <w:color w:val="000000"/>
          <w:sz w:val="28"/>
          <w:szCs w:val="28"/>
        </w:rPr>
        <w:t>7. Тверді побутові відходи, сміття, що збирається під час сухого прибирання приміщень, будівельні матеріали, відходи і сміття, відпрацьований ґрунт і транспортуючі розчини від підземних прохідницьких робіт, ґрунт, зола, шлак, окалина, вапно, цемент та інші в'яжучі речовини, стружка, скло, пилоподібні частки обробки металів, скла, каменю та інші мінеральні матеріали, рослинні залишки і відходи (листя, трава, деревинні відходи, плодоовочеві відходи тощо), за винятком попередньо гомогенізованих плодоовочевих відходів у побуті.</w:t>
      </w:r>
    </w:p>
    <w:p>
      <w:pPr>
        <w:pStyle w:val="Style22"/>
        <w:widowControl/>
        <w:spacing w:before="0" w:after="0"/>
        <w:ind w:left="0" w:right="0" w:firstLine="709"/>
        <w:jc w:val="both"/>
        <w:rPr>
          <w:color w:val="000000"/>
          <w:sz w:val="28"/>
          <w:szCs w:val="28"/>
        </w:rPr>
      </w:pPr>
      <w:bookmarkStart w:id="118" w:name="n185"/>
      <w:bookmarkEnd w:id="118"/>
      <w:r>
        <w:rPr>
          <w:color w:val="000000"/>
          <w:sz w:val="28"/>
          <w:szCs w:val="28"/>
        </w:rPr>
        <w:t>8. Волокнисті матеріали (натуральні, штучні або синтетичні волокна, в тому числі волосся, вовна), тара, пакувальні матеріали та їх елементи, металева стружка, тирса, окалина, синтетичні матеріали (полімерні плівки, гранули, пилоподібні частинки, стружка тощо).</w:t>
      </w:r>
    </w:p>
    <w:p>
      <w:pPr>
        <w:pStyle w:val="Style22"/>
        <w:widowControl/>
        <w:spacing w:before="0" w:after="0"/>
        <w:ind w:left="0" w:right="0" w:firstLine="709"/>
        <w:jc w:val="both"/>
        <w:rPr>
          <w:color w:val="000000"/>
          <w:sz w:val="28"/>
          <w:szCs w:val="28"/>
        </w:rPr>
      </w:pPr>
      <w:bookmarkStart w:id="119" w:name="n186"/>
      <w:bookmarkEnd w:id="119"/>
      <w:r>
        <w:rPr>
          <w:color w:val="000000"/>
          <w:sz w:val="28"/>
          <w:szCs w:val="28"/>
        </w:rPr>
        <w:t>9. Біомаса харчових, фармацевтичних виробництв та інших біотехнологічних процесів у разі концентрації, що перевищує вимоги до речовин за хімічним споживанням кисню, харчова продукція як придатна, так і неліквідна, сировина для її виробництва, сироватка сирна, барда спиртова і дріжджова, пивна хмільова дробина.</w:t>
      </w:r>
    </w:p>
    <w:p>
      <w:pPr>
        <w:pStyle w:val="Style22"/>
        <w:widowControl/>
        <w:spacing w:before="0" w:after="0"/>
        <w:ind w:left="0" w:right="0" w:firstLine="709"/>
        <w:jc w:val="both"/>
        <w:rPr>
          <w:color w:val="000000"/>
          <w:sz w:val="28"/>
          <w:szCs w:val="28"/>
        </w:rPr>
      </w:pPr>
      <w:bookmarkStart w:id="120" w:name="n187"/>
      <w:bookmarkEnd w:id="120"/>
      <w:r>
        <w:rPr>
          <w:color w:val="000000"/>
          <w:sz w:val="28"/>
          <w:szCs w:val="28"/>
        </w:rPr>
        <w:t>10. Речовини з Переліку забруднюючих речовин для визначення хімічного стану масивів поверхневих і підземних вод та екологічного потенціалу штучного або істотно зміненого масиву поверхневих вод, затвердженого наказом Міністерства екології та природних ресурсів України від 06 лютого 2017 року № 45, зареєстрованого в Міністерстві юстиції України 20 лютого 2017 року за № 235/30103, які не увійшли до переліку речовин, що утворюються під час виробничих процесів, при здійсненні яких споживач повинен мати локальні очисні споруди для попереднього очищення стічних вод перед їх скиданням до системи централізованого водовідведення та очищення стічних вод, та переліку речовин, які не піддаються біологічній деструкції.</w:t>
      </w:r>
      <w:r>
        <w:br w:type="page"/>
      </w:r>
    </w:p>
    <w:p>
      <w:pPr>
        <w:pStyle w:val="Style22"/>
        <w:widowControl/>
        <w:spacing w:before="0" w:after="0"/>
        <w:ind w:left="0" w:right="0" w:firstLine="709"/>
        <w:jc w:val="right"/>
        <w:rPr>
          <w:b/>
          <w:b/>
          <w:color w:val="000000"/>
          <w:sz w:val="28"/>
          <w:szCs w:val="28"/>
        </w:rPr>
      </w:pPr>
      <w:r>
        <w:rPr>
          <w:b/>
          <w:color w:val="000000"/>
          <w:sz w:val="28"/>
          <w:szCs w:val="28"/>
        </w:rPr>
        <w:t>Додаток 3</w:t>
      </w:r>
    </w:p>
    <w:p>
      <w:pPr>
        <w:pStyle w:val="Style22"/>
        <w:widowControl/>
        <w:spacing w:before="0" w:after="0"/>
        <w:ind w:left="0" w:right="0" w:firstLine="709"/>
        <w:jc w:val="right"/>
        <w:rPr/>
      </w:pPr>
      <w:r>
        <w:rPr>
          <w:rStyle w:val="Style14"/>
          <w:b/>
          <w:color w:val="000000"/>
          <w:sz w:val="28"/>
          <w:szCs w:val="28"/>
        </w:rPr>
        <w:t>до Місцевих правил</w:t>
      </w:r>
      <w:r>
        <w:rPr>
          <w:rStyle w:val="Style14"/>
          <w:color w:val="000000"/>
          <w:sz w:val="28"/>
          <w:szCs w:val="28"/>
        </w:rPr>
        <w:t xml:space="preserve"> </w:t>
      </w:r>
      <w:r>
        <w:rPr>
          <w:rStyle w:val="Style14"/>
          <w:b/>
          <w:color w:val="000000"/>
          <w:sz w:val="28"/>
          <w:szCs w:val="28"/>
        </w:rPr>
        <w:t>приймання</w:t>
      </w:r>
    </w:p>
    <w:p>
      <w:pPr>
        <w:pStyle w:val="Style22"/>
        <w:widowControl/>
        <w:spacing w:before="0" w:after="0"/>
        <w:ind w:left="0" w:right="0" w:firstLine="709"/>
        <w:jc w:val="right"/>
        <w:rPr>
          <w:b/>
          <w:b/>
          <w:color w:val="000000"/>
          <w:sz w:val="28"/>
          <w:szCs w:val="28"/>
        </w:rPr>
      </w:pPr>
      <w:r>
        <w:rPr>
          <w:b/>
          <w:color w:val="000000"/>
          <w:sz w:val="28"/>
          <w:szCs w:val="28"/>
        </w:rPr>
        <w:t>стічних вод до систем централізованого</w:t>
      </w:r>
    </w:p>
    <w:p>
      <w:pPr>
        <w:pStyle w:val="Style22"/>
        <w:widowControl/>
        <w:spacing w:before="0" w:after="0"/>
        <w:ind w:left="0" w:right="0" w:firstLine="709"/>
        <w:jc w:val="right"/>
        <w:rPr>
          <w:b/>
          <w:b/>
          <w:color w:val="000000"/>
          <w:sz w:val="28"/>
          <w:szCs w:val="28"/>
        </w:rPr>
      </w:pPr>
      <w:r>
        <w:rPr>
          <w:b/>
          <w:color w:val="000000"/>
          <w:sz w:val="28"/>
          <w:szCs w:val="28"/>
        </w:rPr>
        <w:t>водовідведення міста Тернопіль</w:t>
      </w:r>
    </w:p>
    <w:p>
      <w:pPr>
        <w:pStyle w:val="Style22"/>
        <w:widowControl/>
        <w:spacing w:before="0" w:after="0"/>
        <w:ind w:left="0" w:right="0" w:firstLine="709"/>
        <w:jc w:val="right"/>
        <w:rPr>
          <w:b/>
          <w:b/>
          <w:color w:val="000000"/>
          <w:sz w:val="28"/>
          <w:szCs w:val="28"/>
        </w:rPr>
      </w:pPr>
      <w:r>
        <w:rPr>
          <w:b/>
          <w:color w:val="000000"/>
          <w:sz w:val="28"/>
          <w:szCs w:val="28"/>
        </w:rPr>
      </w:r>
    </w:p>
    <w:p>
      <w:pPr>
        <w:pStyle w:val="Style22"/>
        <w:widowControl/>
        <w:spacing w:before="0" w:after="0"/>
        <w:ind w:left="0" w:right="0" w:firstLine="709"/>
        <w:jc w:val="center"/>
        <w:rPr>
          <w:b/>
          <w:b/>
          <w:color w:val="000000"/>
          <w:sz w:val="28"/>
          <w:szCs w:val="28"/>
        </w:rPr>
      </w:pPr>
      <w:bookmarkStart w:id="121" w:name="n189"/>
      <w:bookmarkEnd w:id="121"/>
      <w:r>
        <w:rPr>
          <w:b/>
          <w:color w:val="000000"/>
          <w:sz w:val="28"/>
          <w:szCs w:val="28"/>
        </w:rPr>
        <w:t>ДОПУСТИМИЙ ВМІСТ</w:t>
      </w:r>
    </w:p>
    <w:p>
      <w:pPr>
        <w:pStyle w:val="Style22"/>
        <w:widowControl/>
        <w:spacing w:before="0" w:after="0"/>
        <w:ind w:left="0" w:right="0" w:firstLine="709"/>
        <w:jc w:val="center"/>
        <w:rPr>
          <w:b/>
          <w:b/>
          <w:color w:val="000000"/>
          <w:sz w:val="28"/>
          <w:szCs w:val="28"/>
        </w:rPr>
      </w:pPr>
      <w:r>
        <w:rPr>
          <w:b/>
          <w:color w:val="000000"/>
          <w:sz w:val="28"/>
          <w:szCs w:val="28"/>
        </w:rPr>
        <w:t>важких металів в осадах стічних вод, що можуть використовуватися як органічні добрива</w:t>
      </w:r>
    </w:p>
    <w:p>
      <w:pPr>
        <w:pStyle w:val="Normal"/>
        <w:ind w:left="0" w:right="0" w:firstLine="709"/>
        <w:jc w:val="both"/>
        <w:rPr>
          <w:color w:val="000000"/>
          <w:sz w:val="28"/>
          <w:szCs w:val="28"/>
        </w:rPr>
      </w:pPr>
      <w:r>
        <w:rPr>
          <w:color w:val="000000"/>
          <w:sz w:val="28"/>
          <w:szCs w:val="28"/>
        </w:rPr>
      </w:r>
      <w:bookmarkStart w:id="122" w:name="n190"/>
      <w:bookmarkStart w:id="123" w:name="n190"/>
      <w:bookmarkEnd w:id="123"/>
    </w:p>
    <w:tbl>
      <w:tblPr>
        <w:tblW w:w="5000" w:type="pct"/>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5" w:type="dxa"/>
          <w:bottom w:w="28" w:type="dxa"/>
          <w:right w:w="28" w:type="dxa"/>
        </w:tblCellMar>
      </w:tblPr>
      <w:tblGrid>
        <w:gridCol w:w="776"/>
        <w:gridCol w:w="2278"/>
        <w:gridCol w:w="3179"/>
        <w:gridCol w:w="3405"/>
      </w:tblGrid>
      <w:tr>
        <w:trPr/>
        <w:tc>
          <w:tcPr>
            <w:tcW w:w="77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 xml:space="preserve">№ </w:t>
            </w:r>
            <w:r>
              <w:rPr>
                <w:color w:val="000000"/>
                <w:sz w:val="28"/>
                <w:szCs w:val="28"/>
              </w:rPr>
              <w:t>з/п</w:t>
            </w:r>
          </w:p>
        </w:tc>
        <w:tc>
          <w:tcPr>
            <w:tcW w:w="227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Важкий метал</w:t>
            </w:r>
          </w:p>
        </w:tc>
        <w:tc>
          <w:tcPr>
            <w:tcW w:w="317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pPr>
            <w:r>
              <w:rPr>
                <w:rStyle w:val="Style14"/>
                <w:color w:val="000000"/>
                <w:sz w:val="28"/>
                <w:szCs w:val="28"/>
              </w:rPr>
              <w:t>Орієнтовна ефективність видалення важкого металу на КОС, К</w:t>
            </w:r>
            <w:r>
              <w:rPr>
                <w:rStyle w:val="Style14"/>
                <w:b/>
                <w:color w:val="000000"/>
                <w:sz w:val="28"/>
                <w:szCs w:val="28"/>
              </w:rPr>
              <w:t>в</w:t>
            </w:r>
          </w:p>
        </w:tc>
        <w:tc>
          <w:tcPr>
            <w:tcW w:w="340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Максимально допустимий вміст важкого металу в осадах КОС, г/т сухої речовини</w:t>
            </w:r>
          </w:p>
        </w:tc>
      </w:tr>
      <w:tr>
        <w:trPr/>
        <w:tc>
          <w:tcPr>
            <w:tcW w:w="77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1</w:t>
            </w:r>
          </w:p>
        </w:tc>
        <w:tc>
          <w:tcPr>
            <w:tcW w:w="227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Стронцій</w:t>
            </w:r>
          </w:p>
        </w:tc>
        <w:tc>
          <w:tcPr>
            <w:tcW w:w="317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0,14</w:t>
            </w:r>
          </w:p>
        </w:tc>
        <w:tc>
          <w:tcPr>
            <w:tcW w:w="340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300,0</w:t>
            </w:r>
          </w:p>
        </w:tc>
      </w:tr>
      <w:tr>
        <w:trPr/>
        <w:tc>
          <w:tcPr>
            <w:tcW w:w="77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c>
          <w:tcPr>
            <w:tcW w:w="227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Свинець</w:t>
            </w:r>
          </w:p>
        </w:tc>
        <w:tc>
          <w:tcPr>
            <w:tcW w:w="317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0,5</w:t>
            </w:r>
          </w:p>
        </w:tc>
        <w:tc>
          <w:tcPr>
            <w:tcW w:w="340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750,0</w:t>
            </w:r>
          </w:p>
        </w:tc>
      </w:tr>
      <w:tr>
        <w:trPr/>
        <w:tc>
          <w:tcPr>
            <w:tcW w:w="77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w:t>
            </w:r>
          </w:p>
        </w:tc>
        <w:tc>
          <w:tcPr>
            <w:tcW w:w="227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Ртуть</w:t>
            </w:r>
          </w:p>
        </w:tc>
        <w:tc>
          <w:tcPr>
            <w:tcW w:w="317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0,6</w:t>
            </w:r>
          </w:p>
        </w:tc>
        <w:tc>
          <w:tcPr>
            <w:tcW w:w="340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15,0</w:t>
            </w:r>
          </w:p>
        </w:tc>
      </w:tr>
      <w:tr>
        <w:trPr/>
        <w:tc>
          <w:tcPr>
            <w:tcW w:w="77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c>
          <w:tcPr>
            <w:tcW w:w="227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Кадмій</w:t>
            </w:r>
          </w:p>
        </w:tc>
        <w:tc>
          <w:tcPr>
            <w:tcW w:w="317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0,6</w:t>
            </w:r>
          </w:p>
        </w:tc>
        <w:tc>
          <w:tcPr>
            <w:tcW w:w="340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30,0</w:t>
            </w:r>
          </w:p>
        </w:tc>
      </w:tr>
      <w:tr>
        <w:trPr/>
        <w:tc>
          <w:tcPr>
            <w:tcW w:w="77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5</w:t>
            </w:r>
          </w:p>
        </w:tc>
        <w:tc>
          <w:tcPr>
            <w:tcW w:w="227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Нікель</w:t>
            </w:r>
          </w:p>
        </w:tc>
        <w:tc>
          <w:tcPr>
            <w:tcW w:w="317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0,5</w:t>
            </w:r>
          </w:p>
        </w:tc>
        <w:tc>
          <w:tcPr>
            <w:tcW w:w="340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200,0</w:t>
            </w:r>
          </w:p>
        </w:tc>
      </w:tr>
      <w:tr>
        <w:trPr/>
        <w:tc>
          <w:tcPr>
            <w:tcW w:w="77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6</w:t>
            </w:r>
          </w:p>
        </w:tc>
        <w:tc>
          <w:tcPr>
            <w:tcW w:w="227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pPr>
            <w:r>
              <w:rPr>
                <w:rStyle w:val="Style14"/>
                <w:color w:val="000000"/>
                <w:sz w:val="28"/>
                <w:szCs w:val="28"/>
              </w:rPr>
              <w:t>Хром (3</w:t>
            </w:r>
            <w:r>
              <w:rPr>
                <w:rStyle w:val="Style14"/>
                <w:b/>
                <w:color w:val="000000"/>
                <w:sz w:val="28"/>
                <w:szCs w:val="28"/>
              </w:rPr>
              <w:t>+</w:t>
            </w:r>
            <w:r>
              <w:rPr>
                <w:rStyle w:val="Style14"/>
                <w:color w:val="000000"/>
                <w:sz w:val="28"/>
                <w:szCs w:val="28"/>
              </w:rPr>
              <w:t>)</w:t>
            </w:r>
          </w:p>
        </w:tc>
        <w:tc>
          <w:tcPr>
            <w:tcW w:w="317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0,5</w:t>
            </w:r>
          </w:p>
        </w:tc>
        <w:tc>
          <w:tcPr>
            <w:tcW w:w="340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750,0</w:t>
            </w:r>
          </w:p>
        </w:tc>
      </w:tr>
      <w:tr>
        <w:trPr/>
        <w:tc>
          <w:tcPr>
            <w:tcW w:w="77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7</w:t>
            </w:r>
          </w:p>
        </w:tc>
        <w:tc>
          <w:tcPr>
            <w:tcW w:w="227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Марганець</w:t>
            </w:r>
          </w:p>
        </w:tc>
        <w:tc>
          <w:tcPr>
            <w:tcW w:w="317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340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2000,0</w:t>
            </w:r>
          </w:p>
        </w:tc>
      </w:tr>
      <w:tr>
        <w:trPr/>
        <w:tc>
          <w:tcPr>
            <w:tcW w:w="77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8</w:t>
            </w:r>
          </w:p>
        </w:tc>
        <w:tc>
          <w:tcPr>
            <w:tcW w:w="227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Цинк</w:t>
            </w:r>
          </w:p>
        </w:tc>
        <w:tc>
          <w:tcPr>
            <w:tcW w:w="317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0,3</w:t>
            </w:r>
          </w:p>
        </w:tc>
        <w:tc>
          <w:tcPr>
            <w:tcW w:w="340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2500,0</w:t>
            </w:r>
          </w:p>
        </w:tc>
      </w:tr>
      <w:tr>
        <w:trPr/>
        <w:tc>
          <w:tcPr>
            <w:tcW w:w="77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9</w:t>
            </w:r>
          </w:p>
        </w:tc>
        <w:tc>
          <w:tcPr>
            <w:tcW w:w="227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Мідь</w:t>
            </w:r>
          </w:p>
        </w:tc>
        <w:tc>
          <w:tcPr>
            <w:tcW w:w="317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0,4</w:t>
            </w:r>
          </w:p>
        </w:tc>
        <w:tc>
          <w:tcPr>
            <w:tcW w:w="340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1500,0</w:t>
            </w:r>
          </w:p>
        </w:tc>
      </w:tr>
      <w:tr>
        <w:trPr/>
        <w:tc>
          <w:tcPr>
            <w:tcW w:w="77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10</w:t>
            </w:r>
          </w:p>
        </w:tc>
        <w:tc>
          <w:tcPr>
            <w:tcW w:w="227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Кобальт</w:t>
            </w:r>
          </w:p>
        </w:tc>
        <w:tc>
          <w:tcPr>
            <w:tcW w:w="317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0,5</w:t>
            </w:r>
          </w:p>
        </w:tc>
        <w:tc>
          <w:tcPr>
            <w:tcW w:w="340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100,0</w:t>
            </w:r>
          </w:p>
        </w:tc>
      </w:tr>
      <w:tr>
        <w:trPr/>
        <w:tc>
          <w:tcPr>
            <w:tcW w:w="77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11</w:t>
            </w:r>
          </w:p>
        </w:tc>
        <w:tc>
          <w:tcPr>
            <w:tcW w:w="227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Залізо</w:t>
            </w:r>
          </w:p>
        </w:tc>
        <w:tc>
          <w:tcPr>
            <w:tcW w:w="317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0,5</w:t>
            </w:r>
          </w:p>
        </w:tc>
        <w:tc>
          <w:tcPr>
            <w:tcW w:w="340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25000,0</w:t>
            </w:r>
          </w:p>
        </w:tc>
      </w:tr>
    </w:tbl>
    <w:p>
      <w:pPr>
        <w:pStyle w:val="Style22"/>
        <w:widowControl/>
        <w:spacing w:before="0" w:after="0"/>
        <w:ind w:left="0" w:right="0" w:firstLine="709"/>
        <w:jc w:val="both"/>
        <w:rPr>
          <w:b/>
          <w:b/>
          <w:color w:val="000000"/>
          <w:sz w:val="28"/>
          <w:szCs w:val="28"/>
        </w:rPr>
      </w:pPr>
      <w:r>
        <w:rPr>
          <w:b/>
          <w:color w:val="000000"/>
          <w:sz w:val="28"/>
          <w:szCs w:val="28"/>
        </w:rPr>
      </w:r>
      <w:r>
        <w:br w:type="page"/>
      </w:r>
    </w:p>
    <w:p>
      <w:pPr>
        <w:pStyle w:val="Style22"/>
        <w:widowControl/>
        <w:spacing w:before="0" w:after="0"/>
        <w:ind w:left="0" w:right="0" w:firstLine="709"/>
        <w:jc w:val="right"/>
        <w:rPr>
          <w:b/>
          <w:b/>
          <w:color w:val="000000"/>
          <w:sz w:val="28"/>
          <w:szCs w:val="28"/>
        </w:rPr>
      </w:pPr>
      <w:r>
        <w:rPr>
          <w:b/>
          <w:color w:val="000000"/>
          <w:sz w:val="28"/>
          <w:szCs w:val="28"/>
        </w:rPr>
        <w:t>Додаток 4</w:t>
      </w:r>
    </w:p>
    <w:p>
      <w:pPr>
        <w:pStyle w:val="Style22"/>
        <w:widowControl/>
        <w:spacing w:before="0" w:after="0"/>
        <w:ind w:left="0" w:right="0" w:firstLine="709"/>
        <w:jc w:val="right"/>
        <w:rPr/>
      </w:pPr>
      <w:r>
        <w:rPr>
          <w:rStyle w:val="Style14"/>
          <w:b/>
          <w:color w:val="000000"/>
          <w:sz w:val="28"/>
          <w:szCs w:val="28"/>
        </w:rPr>
        <w:t>до Місцевих правил</w:t>
      </w:r>
      <w:r>
        <w:rPr>
          <w:rStyle w:val="Style14"/>
          <w:color w:val="000000"/>
          <w:sz w:val="28"/>
          <w:szCs w:val="28"/>
        </w:rPr>
        <w:t xml:space="preserve"> </w:t>
      </w:r>
      <w:r>
        <w:rPr>
          <w:rStyle w:val="Style14"/>
          <w:b/>
          <w:color w:val="000000"/>
          <w:sz w:val="28"/>
          <w:szCs w:val="28"/>
        </w:rPr>
        <w:t>приймання</w:t>
      </w:r>
    </w:p>
    <w:p>
      <w:pPr>
        <w:pStyle w:val="Style22"/>
        <w:widowControl/>
        <w:spacing w:before="0" w:after="0"/>
        <w:ind w:left="0" w:right="0" w:firstLine="709"/>
        <w:jc w:val="right"/>
        <w:rPr>
          <w:b/>
          <w:b/>
          <w:color w:val="000000"/>
          <w:sz w:val="28"/>
          <w:szCs w:val="28"/>
        </w:rPr>
      </w:pPr>
      <w:r>
        <w:rPr>
          <w:b/>
          <w:color w:val="000000"/>
          <w:sz w:val="28"/>
          <w:szCs w:val="28"/>
        </w:rPr>
        <w:t>стічних вод до систем централізованого</w:t>
      </w:r>
    </w:p>
    <w:p>
      <w:pPr>
        <w:pStyle w:val="Style22"/>
        <w:widowControl/>
        <w:spacing w:before="0" w:after="0"/>
        <w:ind w:left="0" w:right="0" w:firstLine="709"/>
        <w:jc w:val="right"/>
        <w:rPr>
          <w:b/>
          <w:b/>
          <w:color w:val="000000"/>
          <w:sz w:val="28"/>
          <w:szCs w:val="28"/>
        </w:rPr>
      </w:pPr>
      <w:r>
        <w:rPr>
          <w:b/>
          <w:color w:val="000000"/>
          <w:sz w:val="28"/>
          <w:szCs w:val="28"/>
        </w:rPr>
        <w:t>водовідведення міста Тернопіль</w:t>
      </w:r>
    </w:p>
    <w:p>
      <w:pPr>
        <w:pStyle w:val="Style22"/>
        <w:widowControl/>
        <w:spacing w:before="0" w:after="0"/>
        <w:ind w:left="0" w:right="0" w:firstLine="709"/>
        <w:jc w:val="center"/>
        <w:rPr>
          <w:b/>
          <w:b/>
          <w:color w:val="000000"/>
          <w:sz w:val="28"/>
          <w:szCs w:val="28"/>
        </w:rPr>
      </w:pPr>
      <w:r>
        <w:rPr>
          <w:b/>
          <w:color w:val="000000"/>
          <w:sz w:val="28"/>
          <w:szCs w:val="28"/>
        </w:rPr>
      </w:r>
    </w:p>
    <w:p>
      <w:pPr>
        <w:pStyle w:val="Style22"/>
        <w:widowControl/>
        <w:spacing w:before="0" w:after="0"/>
        <w:ind w:left="0" w:right="0" w:firstLine="709"/>
        <w:jc w:val="center"/>
        <w:rPr>
          <w:b/>
          <w:b/>
          <w:color w:val="000000"/>
          <w:sz w:val="28"/>
          <w:szCs w:val="28"/>
        </w:rPr>
      </w:pPr>
      <w:bookmarkStart w:id="124" w:name="n192"/>
      <w:bookmarkEnd w:id="124"/>
      <w:r>
        <w:rPr>
          <w:b/>
          <w:color w:val="000000"/>
          <w:sz w:val="28"/>
          <w:szCs w:val="28"/>
        </w:rPr>
        <w:t>ВИМОГИ</w:t>
      </w:r>
    </w:p>
    <w:p>
      <w:pPr>
        <w:pStyle w:val="Style22"/>
        <w:widowControl/>
        <w:spacing w:before="0" w:after="0"/>
        <w:ind w:left="0" w:right="0" w:firstLine="709"/>
        <w:jc w:val="center"/>
        <w:rPr/>
      </w:pPr>
      <w:r>
        <w:rPr>
          <w:rStyle w:val="Style14"/>
          <w:b/>
          <w:color w:val="000000"/>
          <w:sz w:val="28"/>
          <w:szCs w:val="28"/>
        </w:rPr>
        <w:t>до складу та властивостей стічних вод, що скидаються до системи централізованого водовідведення, для безпечного їх відведення та очищення на КОС</w:t>
      </w:r>
    </w:p>
    <w:p>
      <w:pPr>
        <w:pStyle w:val="Normal"/>
        <w:ind w:left="0" w:right="0" w:firstLine="709"/>
        <w:jc w:val="both"/>
        <w:rPr>
          <w:color w:val="000000"/>
          <w:sz w:val="28"/>
          <w:szCs w:val="28"/>
        </w:rPr>
      </w:pPr>
      <w:r>
        <w:rPr>
          <w:color w:val="000000"/>
          <w:sz w:val="28"/>
          <w:szCs w:val="28"/>
        </w:rPr>
      </w:r>
      <w:bookmarkStart w:id="125" w:name="n193"/>
      <w:bookmarkStart w:id="126" w:name="n193"/>
      <w:bookmarkEnd w:id="126"/>
    </w:p>
    <w:tbl>
      <w:tblPr>
        <w:tblW w:w="9186" w:type="dxa"/>
        <w:jc w:val="lef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7" w:type="dxa"/>
          <w:bottom w:w="15" w:type="dxa"/>
          <w:right w:w="15" w:type="dxa"/>
        </w:tblCellMar>
      </w:tblPr>
      <w:tblGrid>
        <w:gridCol w:w="439"/>
        <w:gridCol w:w="4090"/>
        <w:gridCol w:w="1835"/>
        <w:gridCol w:w="2822"/>
      </w:tblGrid>
      <w:tr>
        <w:trPr/>
        <w:tc>
          <w:tcPr>
            <w:tcW w:w="452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before="150" w:after="150"/>
              <w:ind w:left="0" w:right="0" w:hanging="0"/>
              <w:jc w:val="center"/>
              <w:rPr>
                <w:rFonts w:ascii="Times New Roman" w:hAnsi="Times New Roman"/>
                <w:sz w:val="24"/>
                <w:szCs w:val="24"/>
                <w:lang w:eastAsia="uk-UA"/>
              </w:rPr>
            </w:pPr>
            <w:r>
              <w:rPr>
                <w:sz w:val="24"/>
                <w:szCs w:val="24"/>
                <w:lang w:eastAsia="uk-UA"/>
              </w:rPr>
              <w:t>Показники якості стічних вод</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before="150" w:after="150"/>
              <w:ind w:left="0" w:right="0" w:hanging="0"/>
              <w:jc w:val="center"/>
              <w:rPr>
                <w:rFonts w:ascii="Times New Roman" w:hAnsi="Times New Roman"/>
                <w:sz w:val="24"/>
                <w:szCs w:val="24"/>
                <w:lang w:eastAsia="uk-UA"/>
              </w:rPr>
            </w:pPr>
            <w:r>
              <w:rPr>
                <w:sz w:val="24"/>
                <w:szCs w:val="24"/>
                <w:lang w:eastAsia="uk-UA"/>
              </w:rPr>
              <w:t>Одиниця виміру</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before="0" w:after="0"/>
              <w:ind w:left="0" w:right="0" w:hanging="0"/>
              <w:jc w:val="center"/>
              <w:rPr>
                <w:rFonts w:ascii="Times New Roman" w:hAnsi="Times New Roman"/>
                <w:sz w:val="24"/>
                <w:szCs w:val="24"/>
                <w:lang w:eastAsia="uk-UA"/>
              </w:rPr>
            </w:pPr>
            <w:r>
              <w:rPr>
                <w:sz w:val="24"/>
                <w:szCs w:val="24"/>
                <w:lang w:eastAsia="uk-UA"/>
              </w:rPr>
              <w:t xml:space="preserve">Встановлене значення </w:t>
            </w:r>
          </w:p>
          <w:p>
            <w:pPr>
              <w:pStyle w:val="Normal"/>
              <w:tabs>
                <w:tab w:val="clear" w:pos="708"/>
              </w:tabs>
              <w:bidi w:val="0"/>
              <w:spacing w:before="0" w:after="0"/>
              <w:ind w:left="0" w:right="0" w:hanging="0"/>
              <w:jc w:val="center"/>
              <w:rPr>
                <w:rFonts w:ascii="Times New Roman" w:hAnsi="Times New Roman"/>
                <w:sz w:val="24"/>
                <w:szCs w:val="24"/>
                <w:lang w:eastAsia="uk-UA"/>
              </w:rPr>
            </w:pPr>
            <w:r>
              <w:rPr>
                <w:sz w:val="24"/>
                <w:szCs w:val="24"/>
                <w:lang w:eastAsia="uk-UA"/>
              </w:rPr>
              <w:t xml:space="preserve">ДК </w:t>
            </w:r>
          </w:p>
        </w:tc>
      </w:tr>
      <w:tr>
        <w:trPr>
          <w:trHeight w:val="20"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before="0" w:after="0"/>
              <w:ind w:left="0" w:right="0" w:hanging="0"/>
              <w:jc w:val="center"/>
              <w:rPr>
                <w:rFonts w:ascii="Times New Roman" w:hAnsi="Times New Roman"/>
                <w:sz w:val="20"/>
                <w:szCs w:val="20"/>
                <w:lang w:eastAsia="uk-UA"/>
              </w:rPr>
            </w:pPr>
            <w:r>
              <w:rPr>
                <w:sz w:val="20"/>
                <w:szCs w:val="20"/>
                <w:lang w:eastAsia="uk-UA"/>
              </w:rPr>
              <w:t>1</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before="0" w:after="0"/>
              <w:ind w:left="0" w:right="0" w:hanging="0"/>
              <w:jc w:val="center"/>
              <w:rPr>
                <w:rFonts w:ascii="Times New Roman" w:hAnsi="Times New Roman"/>
                <w:sz w:val="20"/>
                <w:szCs w:val="20"/>
                <w:lang w:eastAsia="uk-UA"/>
              </w:rPr>
            </w:pPr>
            <w:r>
              <w:rPr>
                <w:sz w:val="20"/>
                <w:szCs w:val="20"/>
                <w:lang w:eastAsia="uk-UA"/>
              </w:rPr>
              <w:t>2</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before="0" w:after="0"/>
              <w:ind w:left="0" w:right="0" w:hanging="0"/>
              <w:jc w:val="center"/>
              <w:rPr>
                <w:rFonts w:ascii="Times New Roman" w:hAnsi="Times New Roman"/>
                <w:sz w:val="20"/>
                <w:szCs w:val="20"/>
                <w:lang w:eastAsia="uk-UA"/>
              </w:rPr>
            </w:pPr>
            <w:r>
              <w:rPr>
                <w:sz w:val="20"/>
                <w:szCs w:val="20"/>
                <w:lang w:eastAsia="uk-UA"/>
              </w:rPr>
              <w:t>3</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before="0" w:after="0"/>
              <w:ind w:left="0" w:right="0" w:hanging="0"/>
              <w:jc w:val="center"/>
              <w:rPr>
                <w:rFonts w:ascii="Times New Roman" w:hAnsi="Times New Roman"/>
                <w:sz w:val="20"/>
                <w:szCs w:val="20"/>
                <w:lang w:eastAsia="uk-UA"/>
              </w:rPr>
            </w:pPr>
            <w:r>
              <w:rPr>
                <w:sz w:val="20"/>
                <w:szCs w:val="20"/>
                <w:lang w:eastAsia="uk-UA"/>
              </w:rPr>
              <w:t>7</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uto" w:line="312" w:before="0" w:after="0"/>
              <w:ind w:left="0" w:right="0" w:hanging="0"/>
              <w:jc w:val="center"/>
              <w:rPr>
                <w:rFonts w:ascii="Times New Roman" w:hAnsi="Times New Roman"/>
                <w:sz w:val="24"/>
                <w:szCs w:val="24"/>
                <w:lang w:eastAsia="uk-UA"/>
              </w:rPr>
            </w:pPr>
            <w:r>
              <w:rPr>
                <w:sz w:val="24"/>
                <w:szCs w:val="24"/>
                <w:lang w:eastAsia="uk-UA"/>
              </w:rPr>
              <w:t>1</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rPr>
                <w:rFonts w:ascii="Times New Roman" w:hAnsi="Times New Roman"/>
                <w:sz w:val="24"/>
                <w:szCs w:val="24"/>
                <w:lang w:eastAsia="uk-UA"/>
              </w:rPr>
            </w:pPr>
            <w:r>
              <w:rPr>
                <w:sz w:val="24"/>
                <w:szCs w:val="24"/>
                <w:lang w:eastAsia="uk-UA"/>
              </w:rPr>
              <w:t>Реакція середовища (pH)</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jc w:val="center"/>
              <w:rPr>
                <w:rFonts w:ascii="Times New Roman" w:hAnsi="Times New Roman"/>
                <w:sz w:val="24"/>
                <w:szCs w:val="24"/>
                <w:lang w:eastAsia="uk-UA"/>
              </w:rPr>
            </w:pPr>
            <w:r>
              <w:rPr>
                <w:sz w:val="24"/>
                <w:szCs w:val="24"/>
                <w:lang w:eastAsia="uk-UA"/>
              </w:rPr>
              <w:t>од.</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jc w:val="center"/>
              <w:rPr>
                <w:rFonts w:ascii="Times New Roman" w:hAnsi="Times New Roman"/>
                <w:sz w:val="24"/>
                <w:szCs w:val="24"/>
                <w:lang w:eastAsia="uk-UA"/>
              </w:rPr>
            </w:pPr>
            <w:r>
              <w:rPr>
                <w:sz w:val="24"/>
                <w:szCs w:val="24"/>
                <w:lang w:eastAsia="uk-UA"/>
              </w:rPr>
              <w:t>6,5 - 9,0</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uto" w:line="312" w:before="0" w:after="0"/>
              <w:ind w:left="0" w:right="0" w:hanging="0"/>
              <w:jc w:val="center"/>
              <w:rPr>
                <w:rFonts w:ascii="Times New Roman" w:hAnsi="Times New Roman"/>
                <w:sz w:val="24"/>
                <w:szCs w:val="24"/>
                <w:lang w:eastAsia="uk-UA"/>
              </w:rPr>
            </w:pPr>
            <w:r>
              <w:rPr>
                <w:sz w:val="24"/>
                <w:szCs w:val="24"/>
                <w:lang w:eastAsia="uk-UA"/>
              </w:rPr>
              <w:t>2</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rPr>
                <w:rFonts w:ascii="Times New Roman" w:hAnsi="Times New Roman"/>
                <w:sz w:val="24"/>
                <w:szCs w:val="24"/>
                <w:lang w:eastAsia="uk-UA"/>
              </w:rPr>
            </w:pPr>
            <w:r>
              <w:rPr>
                <w:sz w:val="24"/>
                <w:szCs w:val="24"/>
                <w:lang w:eastAsia="uk-UA"/>
              </w:rPr>
              <w:t>Температура</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rFonts w:ascii="Times New Roman" w:hAnsi="Times New Roman"/>
                <w:sz w:val="24"/>
                <w:szCs w:val="24"/>
                <w:lang w:eastAsia="uk-UA"/>
              </w:rPr>
            </w:pPr>
            <w:r>
              <w:rPr>
                <w:sz w:val="24"/>
                <w:szCs w:val="24"/>
                <w:lang w:eastAsia="uk-UA"/>
              </w:rPr>
              <w:t>°C</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rFonts w:ascii="Times New Roman" w:hAnsi="Times New Roman"/>
                <w:sz w:val="24"/>
                <w:szCs w:val="24"/>
                <w:lang w:eastAsia="uk-UA"/>
              </w:rPr>
            </w:pPr>
            <w:r>
              <w:rPr>
                <w:sz w:val="24"/>
                <w:szCs w:val="24"/>
                <w:lang w:eastAsia="uk-UA"/>
              </w:rPr>
              <w:t>+40</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uto" w:line="312" w:before="0" w:after="0"/>
              <w:ind w:left="0" w:right="0" w:hanging="0"/>
              <w:jc w:val="center"/>
              <w:rPr>
                <w:rFonts w:ascii="Times New Roman" w:hAnsi="Times New Roman"/>
                <w:sz w:val="24"/>
                <w:szCs w:val="24"/>
                <w:lang w:eastAsia="uk-UA"/>
              </w:rPr>
            </w:pPr>
            <w:r>
              <w:rPr>
                <w:sz w:val="24"/>
                <w:szCs w:val="24"/>
                <w:lang w:eastAsia="uk-UA"/>
              </w:rPr>
              <w:t>3</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rPr/>
            </w:pPr>
            <w:r>
              <w:rPr>
                <w:sz w:val="24"/>
                <w:szCs w:val="24"/>
                <w:lang w:eastAsia="uk-UA"/>
              </w:rPr>
              <w:t>БСК</w:t>
            </w:r>
            <w:r>
              <w:rPr>
                <w:bCs/>
                <w:sz w:val="24"/>
                <w:szCs w:val="24"/>
                <w:vertAlign w:val="subscript"/>
                <w:lang w:eastAsia="uk-UA"/>
              </w:rPr>
              <w:t>5</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jc w:val="center"/>
              <w:rPr/>
            </w:pPr>
            <w:r>
              <w:rPr>
                <w:sz w:val="24"/>
                <w:szCs w:val="24"/>
                <w:lang w:eastAsia="uk-UA"/>
              </w:rPr>
              <w:t>мг/дм</w:t>
            </w:r>
            <w:r>
              <w:rPr>
                <w:bCs/>
                <w:sz w:val="24"/>
                <w:szCs w:val="24"/>
                <w:vertAlign w:val="superscript"/>
                <w:lang w:eastAsia="uk-UA"/>
              </w:rPr>
              <w:t>-3</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jc w:val="center"/>
              <w:rPr>
                <w:rFonts w:ascii="Times New Roman" w:hAnsi="Times New Roman"/>
                <w:sz w:val="24"/>
                <w:szCs w:val="24"/>
                <w:highlight w:val="white"/>
              </w:rPr>
            </w:pPr>
            <w:r>
              <w:rPr>
                <w:sz w:val="24"/>
                <w:szCs w:val="24"/>
                <w:highlight w:val="white"/>
              </w:rPr>
              <w:t>311,7</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uto" w:line="312" w:before="0" w:after="0"/>
              <w:ind w:left="0" w:right="0" w:hanging="0"/>
              <w:jc w:val="center"/>
              <w:rPr>
                <w:rFonts w:ascii="Times New Roman" w:hAnsi="Times New Roman"/>
                <w:sz w:val="24"/>
                <w:szCs w:val="24"/>
                <w:lang w:eastAsia="uk-UA"/>
              </w:rPr>
            </w:pPr>
            <w:r>
              <w:rPr>
                <w:sz w:val="24"/>
                <w:szCs w:val="24"/>
                <w:lang w:eastAsia="uk-UA"/>
              </w:rPr>
              <w:t>4</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rPr>
                <w:rFonts w:ascii="Times New Roman" w:hAnsi="Times New Roman"/>
                <w:sz w:val="24"/>
                <w:szCs w:val="24"/>
                <w:lang w:eastAsia="uk-UA"/>
              </w:rPr>
            </w:pPr>
            <w:r>
              <w:rPr>
                <w:sz w:val="24"/>
                <w:szCs w:val="24"/>
                <w:lang w:eastAsia="uk-UA"/>
              </w:rPr>
              <w:t>ХСК</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jc w:val="center"/>
              <w:rPr/>
            </w:pPr>
            <w:r>
              <w:rPr>
                <w:sz w:val="24"/>
                <w:szCs w:val="24"/>
                <w:lang w:eastAsia="uk-UA"/>
              </w:rPr>
              <w:t>мг/дм</w:t>
            </w:r>
            <w:r>
              <w:rPr>
                <w:bCs/>
                <w:sz w:val="24"/>
                <w:szCs w:val="24"/>
                <w:vertAlign w:val="superscript"/>
                <w:lang w:eastAsia="uk-UA"/>
              </w:rPr>
              <w:t>-3</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jc w:val="center"/>
              <w:rPr>
                <w:rFonts w:ascii="Times New Roman" w:hAnsi="Times New Roman"/>
                <w:sz w:val="24"/>
                <w:szCs w:val="24"/>
                <w:highlight w:val="white"/>
              </w:rPr>
            </w:pPr>
            <w:r>
              <w:rPr>
                <w:sz w:val="24"/>
                <w:szCs w:val="24"/>
                <w:highlight w:val="white"/>
              </w:rPr>
              <w:t>667,1</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uto" w:line="312" w:before="0" w:after="0"/>
              <w:ind w:left="0" w:right="0" w:hanging="0"/>
              <w:jc w:val="center"/>
              <w:rPr>
                <w:rFonts w:ascii="Times New Roman" w:hAnsi="Times New Roman"/>
                <w:sz w:val="24"/>
                <w:szCs w:val="24"/>
                <w:lang w:eastAsia="uk-UA"/>
              </w:rPr>
            </w:pPr>
            <w:r>
              <w:rPr>
                <w:sz w:val="24"/>
                <w:szCs w:val="24"/>
                <w:lang w:eastAsia="uk-UA"/>
              </w:rPr>
              <w:t>5</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rPr/>
            </w:pPr>
            <w:r>
              <w:rPr>
                <w:sz w:val="24"/>
                <w:szCs w:val="24"/>
                <w:lang w:eastAsia="uk-UA"/>
              </w:rPr>
              <w:t>Співвідношення ХСК:БСК</w:t>
            </w:r>
            <w:r>
              <w:rPr>
                <w:bCs/>
                <w:sz w:val="24"/>
                <w:szCs w:val="24"/>
                <w:vertAlign w:val="subscript"/>
                <w:lang w:eastAsia="uk-UA"/>
              </w:rPr>
              <w:t>5</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jc w:val="center"/>
              <w:rPr>
                <w:rFonts w:ascii="Times New Roman" w:hAnsi="Times New Roman"/>
                <w:sz w:val="24"/>
                <w:szCs w:val="24"/>
                <w:lang w:eastAsia="uk-UA"/>
              </w:rPr>
            </w:pPr>
            <w:r>
              <w:rPr>
                <w:sz w:val="24"/>
                <w:szCs w:val="24"/>
                <w:lang w:eastAsia="uk-UA"/>
              </w:rPr>
              <w:t>-</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jc w:val="center"/>
              <w:rPr>
                <w:rFonts w:ascii="Times New Roman" w:hAnsi="Times New Roman"/>
                <w:sz w:val="24"/>
                <w:szCs w:val="24"/>
                <w:lang w:eastAsia="uk-UA"/>
              </w:rPr>
            </w:pPr>
            <w:r>
              <w:rPr>
                <w:sz w:val="24"/>
                <w:szCs w:val="24"/>
                <w:lang w:eastAsia="uk-UA"/>
              </w:rPr>
              <w:t>&lt; 2,5</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uto" w:line="312" w:before="0" w:after="0"/>
              <w:ind w:left="0" w:right="0" w:hanging="0"/>
              <w:jc w:val="center"/>
              <w:rPr>
                <w:rFonts w:ascii="Times New Roman" w:hAnsi="Times New Roman"/>
                <w:sz w:val="24"/>
                <w:szCs w:val="24"/>
                <w:lang w:eastAsia="uk-UA"/>
              </w:rPr>
            </w:pPr>
            <w:r>
              <w:rPr>
                <w:sz w:val="24"/>
                <w:szCs w:val="24"/>
                <w:lang w:eastAsia="uk-UA"/>
              </w:rPr>
              <w:t>6</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0" w:before="0" w:after="0"/>
              <w:ind w:left="0" w:right="0" w:hanging="0"/>
              <w:rPr>
                <w:rFonts w:ascii="Times New Roman" w:hAnsi="Times New Roman"/>
                <w:sz w:val="24"/>
                <w:szCs w:val="24"/>
                <w:lang w:eastAsia="uk-UA"/>
              </w:rPr>
            </w:pPr>
            <w:r>
              <w:rPr>
                <w:sz w:val="24"/>
                <w:szCs w:val="24"/>
                <w:lang w:eastAsia="uk-UA"/>
              </w:rPr>
              <w:t>Завислі речовини та речовини, що спливають</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pPr>
            <w:r>
              <w:rPr>
                <w:sz w:val="24"/>
                <w:szCs w:val="24"/>
                <w:lang w:eastAsia="uk-UA"/>
              </w:rPr>
              <w:t>мг/дм</w:t>
            </w:r>
            <w:r>
              <w:rPr>
                <w:bCs/>
                <w:sz w:val="24"/>
                <w:szCs w:val="24"/>
                <w:vertAlign w:val="superscript"/>
                <w:lang w:eastAsia="uk-UA"/>
              </w:rPr>
              <w:t>-3</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rFonts w:ascii="Times New Roman" w:hAnsi="Times New Roman"/>
                <w:sz w:val="24"/>
                <w:szCs w:val="24"/>
                <w:highlight w:val="white"/>
              </w:rPr>
            </w:pPr>
            <w:r>
              <w:rPr>
                <w:sz w:val="24"/>
                <w:szCs w:val="24"/>
                <w:highlight w:val="white"/>
              </w:rPr>
              <w:t>282,9</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uto" w:line="312" w:before="0" w:after="0"/>
              <w:ind w:left="0" w:right="0" w:hanging="0"/>
              <w:jc w:val="center"/>
              <w:rPr>
                <w:rFonts w:ascii="Times New Roman" w:hAnsi="Times New Roman"/>
                <w:sz w:val="24"/>
                <w:szCs w:val="24"/>
                <w:lang w:eastAsia="uk-UA"/>
              </w:rPr>
            </w:pPr>
            <w:r>
              <w:rPr>
                <w:sz w:val="24"/>
                <w:szCs w:val="24"/>
                <w:lang w:eastAsia="uk-UA"/>
              </w:rPr>
              <w:t>7</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rPr>
                <w:rFonts w:ascii="Times New Roman" w:hAnsi="Times New Roman"/>
                <w:sz w:val="24"/>
                <w:szCs w:val="24"/>
                <w:lang w:eastAsia="uk-UA"/>
              </w:rPr>
            </w:pPr>
            <w:r>
              <w:rPr>
                <w:sz w:val="24"/>
                <w:szCs w:val="24"/>
                <w:lang w:eastAsia="uk-UA"/>
              </w:rPr>
              <w:t>Азот амонійний</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pPr>
            <w:r>
              <w:rPr>
                <w:sz w:val="24"/>
                <w:szCs w:val="24"/>
                <w:lang w:eastAsia="uk-UA"/>
              </w:rPr>
              <w:t>мг/дм</w:t>
            </w:r>
            <w:r>
              <w:rPr>
                <w:bCs/>
                <w:sz w:val="24"/>
                <w:szCs w:val="24"/>
                <w:vertAlign w:val="superscript"/>
                <w:lang w:eastAsia="uk-UA"/>
              </w:rPr>
              <w:t>-3</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rFonts w:ascii="Times New Roman" w:hAnsi="Times New Roman"/>
                <w:sz w:val="24"/>
                <w:szCs w:val="24"/>
                <w:highlight w:val="white"/>
              </w:rPr>
            </w:pPr>
            <w:r>
              <w:rPr>
                <w:sz w:val="24"/>
                <w:szCs w:val="24"/>
                <w:highlight w:val="white"/>
              </w:rPr>
              <w:t>26,71</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uto" w:line="312" w:before="0" w:after="0"/>
              <w:ind w:left="0" w:right="0" w:hanging="0"/>
              <w:jc w:val="center"/>
              <w:rPr>
                <w:rFonts w:ascii="Times New Roman" w:hAnsi="Times New Roman"/>
                <w:sz w:val="24"/>
                <w:szCs w:val="24"/>
                <w:lang w:eastAsia="uk-UA"/>
              </w:rPr>
            </w:pPr>
            <w:r>
              <w:rPr>
                <w:sz w:val="24"/>
                <w:szCs w:val="24"/>
                <w:lang w:eastAsia="uk-UA"/>
              </w:rPr>
              <w:t>8</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rPr>
                <w:rFonts w:ascii="Times New Roman" w:hAnsi="Times New Roman"/>
                <w:sz w:val="24"/>
                <w:szCs w:val="24"/>
                <w:lang w:eastAsia="uk-UA"/>
              </w:rPr>
            </w:pPr>
            <w:r>
              <w:rPr>
                <w:sz w:val="24"/>
                <w:szCs w:val="24"/>
                <w:lang w:eastAsia="uk-UA"/>
              </w:rPr>
              <w:t>Нітрити</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jc w:val="center"/>
              <w:rPr/>
            </w:pPr>
            <w:r>
              <w:rPr>
                <w:sz w:val="24"/>
                <w:szCs w:val="24"/>
                <w:lang w:eastAsia="uk-UA"/>
              </w:rPr>
              <w:t>мг/дм</w:t>
            </w:r>
            <w:r>
              <w:rPr>
                <w:bCs/>
                <w:sz w:val="24"/>
                <w:szCs w:val="24"/>
                <w:vertAlign w:val="superscript"/>
                <w:lang w:eastAsia="uk-UA"/>
              </w:rPr>
              <w:t>-3</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jc w:val="center"/>
              <w:rPr>
                <w:rFonts w:ascii="Times New Roman" w:hAnsi="Times New Roman"/>
                <w:sz w:val="24"/>
                <w:szCs w:val="24"/>
                <w:highlight w:val="white"/>
              </w:rPr>
            </w:pPr>
            <w:r>
              <w:rPr>
                <w:sz w:val="24"/>
                <w:szCs w:val="24"/>
                <w:highlight w:val="white"/>
              </w:rPr>
              <w:t>0,98</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uto" w:line="312" w:before="0" w:after="0"/>
              <w:ind w:left="0" w:right="0" w:hanging="0"/>
              <w:jc w:val="center"/>
              <w:rPr>
                <w:rFonts w:ascii="Times New Roman" w:hAnsi="Times New Roman"/>
                <w:sz w:val="24"/>
                <w:szCs w:val="24"/>
                <w:lang w:eastAsia="uk-UA"/>
              </w:rPr>
            </w:pPr>
            <w:r>
              <w:rPr>
                <w:sz w:val="24"/>
                <w:szCs w:val="24"/>
                <w:lang w:eastAsia="uk-UA"/>
              </w:rPr>
              <w:t>9</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rPr>
                <w:rFonts w:ascii="Times New Roman" w:hAnsi="Times New Roman"/>
                <w:sz w:val="24"/>
                <w:szCs w:val="24"/>
                <w:lang w:eastAsia="uk-UA"/>
              </w:rPr>
            </w:pPr>
            <w:r>
              <w:rPr>
                <w:sz w:val="24"/>
                <w:szCs w:val="24"/>
                <w:lang w:eastAsia="uk-UA"/>
              </w:rPr>
              <w:t>Нітрати</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pPr>
            <w:r>
              <w:rPr>
                <w:sz w:val="24"/>
                <w:szCs w:val="24"/>
                <w:lang w:eastAsia="uk-UA"/>
              </w:rPr>
              <w:t>мг/дм</w:t>
            </w:r>
            <w:r>
              <w:rPr>
                <w:bCs/>
                <w:sz w:val="24"/>
                <w:szCs w:val="24"/>
                <w:vertAlign w:val="superscript"/>
                <w:lang w:eastAsia="uk-UA"/>
              </w:rPr>
              <w:t>-3</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rFonts w:ascii="Times New Roman" w:hAnsi="Times New Roman"/>
                <w:sz w:val="24"/>
                <w:szCs w:val="24"/>
                <w:highlight w:val="white"/>
              </w:rPr>
            </w:pPr>
            <w:r>
              <w:rPr>
                <w:sz w:val="24"/>
                <w:szCs w:val="24"/>
                <w:highlight w:val="white"/>
              </w:rPr>
              <w:t>11,73</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uto" w:line="312" w:before="0" w:after="0"/>
              <w:ind w:left="0" w:right="0" w:hanging="0"/>
              <w:jc w:val="center"/>
              <w:rPr>
                <w:rFonts w:ascii="Times New Roman" w:hAnsi="Times New Roman"/>
                <w:sz w:val="24"/>
                <w:szCs w:val="24"/>
                <w:lang w:eastAsia="uk-UA"/>
              </w:rPr>
            </w:pPr>
            <w:r>
              <w:rPr>
                <w:sz w:val="24"/>
                <w:szCs w:val="24"/>
                <w:lang w:eastAsia="uk-UA"/>
              </w:rPr>
              <w:t>10</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rPr>
                <w:rFonts w:ascii="Times New Roman" w:hAnsi="Times New Roman"/>
                <w:sz w:val="24"/>
                <w:szCs w:val="24"/>
                <w:lang w:eastAsia="uk-UA"/>
              </w:rPr>
            </w:pPr>
            <w:r>
              <w:rPr>
                <w:sz w:val="24"/>
                <w:szCs w:val="24"/>
                <w:lang w:eastAsia="uk-UA"/>
              </w:rPr>
              <w:t>Фосфати</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jc w:val="center"/>
              <w:rPr/>
            </w:pPr>
            <w:r>
              <w:rPr>
                <w:sz w:val="24"/>
                <w:szCs w:val="24"/>
                <w:lang w:eastAsia="uk-UA"/>
              </w:rPr>
              <w:t>мг/дм</w:t>
            </w:r>
            <w:r>
              <w:rPr>
                <w:bCs/>
                <w:sz w:val="24"/>
                <w:szCs w:val="24"/>
                <w:vertAlign w:val="superscript"/>
                <w:lang w:eastAsia="uk-UA"/>
              </w:rPr>
              <w:t>-3</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jc w:val="center"/>
              <w:rPr>
                <w:rFonts w:ascii="Times New Roman" w:hAnsi="Times New Roman"/>
                <w:sz w:val="24"/>
                <w:szCs w:val="24"/>
                <w:highlight w:val="white"/>
              </w:rPr>
            </w:pPr>
            <w:r>
              <w:rPr>
                <w:sz w:val="24"/>
                <w:szCs w:val="24"/>
                <w:highlight w:val="white"/>
              </w:rPr>
              <w:t>6,29</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uto" w:line="312" w:before="0" w:after="0"/>
              <w:ind w:left="0" w:right="0" w:hanging="0"/>
              <w:jc w:val="center"/>
              <w:rPr>
                <w:rFonts w:ascii="Times New Roman" w:hAnsi="Times New Roman"/>
                <w:sz w:val="24"/>
                <w:szCs w:val="24"/>
                <w:lang w:eastAsia="uk-UA"/>
              </w:rPr>
            </w:pPr>
            <w:r>
              <w:rPr>
                <w:sz w:val="24"/>
                <w:szCs w:val="24"/>
                <w:lang w:eastAsia="uk-UA"/>
              </w:rPr>
              <w:t>11</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rPr>
                <w:rFonts w:ascii="Times New Roman" w:hAnsi="Times New Roman"/>
                <w:sz w:val="24"/>
                <w:szCs w:val="24"/>
                <w:lang w:eastAsia="uk-UA"/>
              </w:rPr>
            </w:pPr>
            <w:r>
              <w:rPr>
                <w:sz w:val="24"/>
                <w:szCs w:val="24"/>
                <w:lang w:eastAsia="uk-UA"/>
              </w:rPr>
              <w:t>Нафта та нафтопродукти</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pPr>
            <w:r>
              <w:rPr>
                <w:sz w:val="24"/>
                <w:szCs w:val="24"/>
                <w:lang w:eastAsia="uk-UA"/>
              </w:rPr>
              <w:t>мг/дм</w:t>
            </w:r>
            <w:r>
              <w:rPr>
                <w:bCs/>
                <w:sz w:val="24"/>
                <w:szCs w:val="24"/>
                <w:vertAlign w:val="superscript"/>
                <w:lang w:eastAsia="uk-UA"/>
              </w:rPr>
              <w:t>-3</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rFonts w:ascii="Times New Roman" w:hAnsi="Times New Roman"/>
                <w:sz w:val="24"/>
                <w:szCs w:val="24"/>
                <w:highlight w:val="white"/>
              </w:rPr>
            </w:pPr>
            <w:r>
              <w:rPr>
                <w:sz w:val="24"/>
                <w:szCs w:val="24"/>
                <w:highlight w:val="white"/>
              </w:rPr>
              <w:t>1,43</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uto" w:line="312" w:before="0" w:after="0"/>
              <w:ind w:left="0" w:right="0" w:hanging="0"/>
              <w:jc w:val="center"/>
              <w:rPr>
                <w:rFonts w:ascii="Times New Roman" w:hAnsi="Times New Roman"/>
                <w:sz w:val="24"/>
                <w:szCs w:val="24"/>
                <w:lang w:eastAsia="uk-UA"/>
              </w:rPr>
            </w:pPr>
            <w:r>
              <w:rPr>
                <w:sz w:val="24"/>
                <w:szCs w:val="24"/>
                <w:lang w:eastAsia="uk-UA"/>
              </w:rPr>
              <w:t>12</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rPr>
                <w:rFonts w:ascii="Times New Roman" w:hAnsi="Times New Roman"/>
                <w:sz w:val="24"/>
                <w:szCs w:val="24"/>
                <w:lang w:eastAsia="uk-UA"/>
              </w:rPr>
            </w:pPr>
            <w:r>
              <w:rPr>
                <w:sz w:val="24"/>
                <w:szCs w:val="24"/>
                <w:lang w:eastAsia="uk-UA"/>
              </w:rPr>
              <w:t>Хлориди (Cl-)</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pPr>
            <w:r>
              <w:rPr>
                <w:sz w:val="24"/>
                <w:szCs w:val="24"/>
                <w:lang w:eastAsia="uk-UA"/>
              </w:rPr>
              <w:t>мг/дм</w:t>
            </w:r>
            <w:r>
              <w:rPr>
                <w:bCs/>
                <w:sz w:val="24"/>
                <w:szCs w:val="24"/>
                <w:vertAlign w:val="superscript"/>
                <w:lang w:eastAsia="uk-UA"/>
              </w:rPr>
              <w:t>-3</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rFonts w:ascii="Times New Roman" w:hAnsi="Times New Roman"/>
                <w:sz w:val="24"/>
                <w:szCs w:val="24"/>
                <w:highlight w:val="white"/>
              </w:rPr>
            </w:pPr>
            <w:r>
              <w:rPr>
                <w:sz w:val="24"/>
                <w:szCs w:val="24"/>
                <w:highlight w:val="white"/>
              </w:rPr>
              <w:t>350</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uto" w:line="312" w:before="0" w:after="0"/>
              <w:ind w:left="0" w:right="0" w:hanging="0"/>
              <w:jc w:val="center"/>
              <w:rPr>
                <w:rFonts w:ascii="Times New Roman" w:hAnsi="Times New Roman"/>
                <w:sz w:val="24"/>
                <w:szCs w:val="24"/>
                <w:lang w:eastAsia="uk-UA"/>
              </w:rPr>
            </w:pPr>
            <w:r>
              <w:rPr>
                <w:sz w:val="24"/>
                <w:szCs w:val="24"/>
                <w:lang w:eastAsia="uk-UA"/>
              </w:rPr>
              <w:t>13</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rPr/>
            </w:pPr>
            <w:r>
              <w:rPr>
                <w:sz w:val="24"/>
                <w:szCs w:val="24"/>
                <w:lang w:eastAsia="uk-UA"/>
              </w:rPr>
              <w:t>Сульфати (SO</w:t>
            </w:r>
            <w:r>
              <w:rPr>
                <w:bCs/>
                <w:sz w:val="24"/>
                <w:szCs w:val="24"/>
                <w:vertAlign w:val="subscript"/>
                <w:lang w:eastAsia="uk-UA"/>
              </w:rPr>
              <w:t>4</w:t>
            </w:r>
            <w:r>
              <w:rPr>
                <w:bCs/>
                <w:sz w:val="24"/>
                <w:szCs w:val="24"/>
                <w:vertAlign w:val="superscript"/>
                <w:lang w:eastAsia="uk-UA"/>
              </w:rPr>
              <w:t>-2-</w:t>
            </w:r>
            <w:r>
              <w:rPr>
                <w:sz w:val="24"/>
                <w:szCs w:val="24"/>
                <w:lang w:eastAsia="uk-UA"/>
              </w:rPr>
              <w:t>)</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pPr>
            <w:r>
              <w:rPr>
                <w:sz w:val="24"/>
                <w:szCs w:val="24"/>
                <w:lang w:eastAsia="uk-UA"/>
              </w:rPr>
              <w:t>мг/дм</w:t>
            </w:r>
            <w:r>
              <w:rPr>
                <w:bCs/>
                <w:sz w:val="24"/>
                <w:szCs w:val="24"/>
                <w:vertAlign w:val="superscript"/>
                <w:lang w:eastAsia="uk-UA"/>
              </w:rPr>
              <w:t>-3</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rFonts w:ascii="Times New Roman" w:hAnsi="Times New Roman"/>
                <w:sz w:val="24"/>
                <w:szCs w:val="24"/>
                <w:highlight w:val="white"/>
              </w:rPr>
            </w:pPr>
            <w:r>
              <w:rPr>
                <w:sz w:val="24"/>
                <w:szCs w:val="24"/>
                <w:highlight w:val="white"/>
              </w:rPr>
              <w:t>371,5</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uto" w:line="312" w:before="0" w:after="0"/>
              <w:ind w:left="0" w:right="0" w:hanging="0"/>
              <w:jc w:val="center"/>
              <w:rPr>
                <w:rFonts w:ascii="Times New Roman" w:hAnsi="Times New Roman"/>
                <w:sz w:val="24"/>
                <w:szCs w:val="24"/>
                <w:lang w:eastAsia="uk-UA"/>
              </w:rPr>
            </w:pPr>
            <w:r>
              <w:rPr>
                <w:sz w:val="24"/>
                <w:szCs w:val="24"/>
                <w:lang w:eastAsia="uk-UA"/>
              </w:rPr>
              <w:t>14</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rPr>
                <w:rFonts w:ascii="Times New Roman" w:hAnsi="Times New Roman"/>
                <w:sz w:val="24"/>
                <w:szCs w:val="24"/>
                <w:lang w:eastAsia="uk-UA"/>
              </w:rPr>
            </w:pPr>
            <w:r>
              <w:rPr>
                <w:sz w:val="24"/>
                <w:szCs w:val="24"/>
                <w:lang w:eastAsia="uk-UA"/>
              </w:rPr>
              <w:t>СПАР аніонні</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pPr>
            <w:r>
              <w:rPr>
                <w:sz w:val="24"/>
                <w:szCs w:val="24"/>
                <w:lang w:eastAsia="uk-UA"/>
              </w:rPr>
              <w:t>мг/дм</w:t>
            </w:r>
            <w:r>
              <w:rPr>
                <w:bCs/>
                <w:sz w:val="24"/>
                <w:szCs w:val="24"/>
                <w:vertAlign w:val="superscript"/>
                <w:lang w:eastAsia="uk-UA"/>
              </w:rPr>
              <w:t>-3</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rFonts w:ascii="Times New Roman" w:hAnsi="Times New Roman"/>
                <w:sz w:val="24"/>
                <w:szCs w:val="24"/>
                <w:highlight w:val="white"/>
              </w:rPr>
            </w:pPr>
            <w:r>
              <w:rPr>
                <w:sz w:val="24"/>
                <w:szCs w:val="24"/>
                <w:highlight w:val="white"/>
              </w:rPr>
              <w:t>0,35</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uto" w:line="312" w:before="0" w:after="0"/>
              <w:ind w:left="0" w:right="0" w:hanging="0"/>
              <w:jc w:val="center"/>
              <w:rPr>
                <w:rFonts w:ascii="Times New Roman" w:hAnsi="Times New Roman"/>
                <w:sz w:val="24"/>
                <w:szCs w:val="24"/>
                <w:lang w:eastAsia="uk-UA"/>
              </w:rPr>
            </w:pPr>
            <w:r>
              <w:rPr>
                <w:sz w:val="24"/>
                <w:szCs w:val="24"/>
                <w:lang w:eastAsia="uk-UA"/>
              </w:rPr>
              <w:t>15</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rPr>
                <w:rFonts w:ascii="Times New Roman" w:hAnsi="Times New Roman"/>
                <w:sz w:val="24"/>
                <w:szCs w:val="24"/>
                <w:lang w:eastAsia="uk-UA"/>
              </w:rPr>
            </w:pPr>
            <w:r>
              <w:rPr>
                <w:sz w:val="24"/>
                <w:szCs w:val="24"/>
                <w:lang w:eastAsia="uk-UA"/>
              </w:rPr>
              <w:t>Залізо (Fe)</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pPr>
            <w:r>
              <w:rPr>
                <w:sz w:val="24"/>
                <w:szCs w:val="24"/>
                <w:lang w:eastAsia="uk-UA"/>
              </w:rPr>
              <w:t>мг/дм</w:t>
            </w:r>
            <w:r>
              <w:rPr>
                <w:bCs/>
                <w:sz w:val="24"/>
                <w:szCs w:val="24"/>
                <w:vertAlign w:val="superscript"/>
                <w:lang w:eastAsia="uk-UA"/>
              </w:rPr>
              <w:t>-3</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rFonts w:ascii="Times New Roman" w:hAnsi="Times New Roman"/>
                <w:sz w:val="24"/>
                <w:szCs w:val="24"/>
                <w:highlight w:val="white"/>
              </w:rPr>
            </w:pPr>
            <w:r>
              <w:rPr>
                <w:sz w:val="24"/>
                <w:szCs w:val="24"/>
                <w:highlight w:val="white"/>
              </w:rPr>
              <w:t>1,37</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uto" w:line="312" w:before="0" w:after="0"/>
              <w:ind w:left="0" w:right="0" w:hanging="0"/>
              <w:jc w:val="center"/>
              <w:rPr>
                <w:rFonts w:ascii="Times New Roman" w:hAnsi="Times New Roman"/>
                <w:sz w:val="24"/>
                <w:szCs w:val="24"/>
                <w:lang w:eastAsia="uk-UA"/>
              </w:rPr>
            </w:pPr>
            <w:r>
              <w:rPr>
                <w:sz w:val="24"/>
                <w:szCs w:val="24"/>
                <w:lang w:eastAsia="uk-UA"/>
              </w:rPr>
              <w:t>16</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rPr>
                <w:rFonts w:ascii="Times New Roman" w:hAnsi="Times New Roman"/>
                <w:sz w:val="24"/>
                <w:szCs w:val="24"/>
                <w:lang w:eastAsia="uk-UA"/>
              </w:rPr>
            </w:pPr>
            <w:r>
              <w:rPr>
                <w:sz w:val="24"/>
                <w:szCs w:val="24"/>
                <w:lang w:eastAsia="uk-UA"/>
              </w:rPr>
              <w:t>Нікель</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jc w:val="center"/>
              <w:rPr/>
            </w:pPr>
            <w:r>
              <w:rPr>
                <w:sz w:val="24"/>
                <w:szCs w:val="24"/>
                <w:lang w:eastAsia="uk-UA"/>
              </w:rPr>
              <w:t>мг/дм</w:t>
            </w:r>
            <w:r>
              <w:rPr>
                <w:bCs/>
                <w:sz w:val="24"/>
                <w:szCs w:val="24"/>
                <w:vertAlign w:val="superscript"/>
                <w:lang w:eastAsia="uk-UA"/>
              </w:rPr>
              <w:t>-3</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8"/>
              </w:tabs>
              <w:bidi w:val="0"/>
              <w:spacing w:lineRule="atLeast" w:line="26" w:before="0" w:after="0"/>
              <w:ind w:left="0" w:right="0" w:hanging="0"/>
              <w:jc w:val="center"/>
              <w:rPr>
                <w:rFonts w:ascii="Times New Roman" w:hAnsi="Times New Roman"/>
                <w:sz w:val="24"/>
                <w:szCs w:val="24"/>
                <w:lang w:eastAsia="uk-UA"/>
              </w:rPr>
            </w:pPr>
            <w:r>
              <w:rPr>
                <w:sz w:val="24"/>
                <w:szCs w:val="24"/>
                <w:lang w:eastAsia="uk-UA"/>
              </w:rPr>
              <w:t>0,5</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uto" w:line="312" w:before="0" w:after="0"/>
              <w:ind w:left="0" w:right="0" w:hanging="0"/>
              <w:jc w:val="center"/>
              <w:rPr>
                <w:rFonts w:ascii="Times New Roman" w:hAnsi="Times New Roman"/>
                <w:sz w:val="24"/>
                <w:szCs w:val="24"/>
                <w:lang w:eastAsia="uk-UA"/>
              </w:rPr>
            </w:pPr>
            <w:r>
              <w:rPr>
                <w:sz w:val="24"/>
                <w:szCs w:val="24"/>
                <w:lang w:eastAsia="uk-UA"/>
              </w:rPr>
              <w:t>17</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rPr/>
            </w:pPr>
            <w:r>
              <w:rPr>
                <w:sz w:val="24"/>
                <w:szCs w:val="24"/>
                <w:lang w:eastAsia="uk-UA"/>
              </w:rPr>
              <w:t>Хром (3</w:t>
            </w:r>
            <w:r>
              <w:rPr>
                <w:bCs/>
                <w:sz w:val="24"/>
                <w:szCs w:val="24"/>
                <w:vertAlign w:val="superscript"/>
                <w:lang w:eastAsia="uk-UA"/>
              </w:rPr>
              <w:t>+</w:t>
            </w:r>
            <w:r>
              <w:rPr>
                <w:sz w:val="24"/>
                <w:szCs w:val="24"/>
                <w:lang w:eastAsia="uk-UA"/>
              </w:rPr>
              <w:t>)</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pPr>
            <w:r>
              <w:rPr>
                <w:sz w:val="24"/>
                <w:szCs w:val="24"/>
                <w:lang w:eastAsia="uk-UA"/>
              </w:rPr>
              <w:t>мг/дм</w:t>
            </w:r>
            <w:r>
              <w:rPr>
                <w:bCs/>
                <w:sz w:val="24"/>
                <w:szCs w:val="24"/>
                <w:vertAlign w:val="superscript"/>
                <w:lang w:eastAsia="uk-UA"/>
              </w:rPr>
              <w:t>-3</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rFonts w:ascii="Times New Roman" w:hAnsi="Times New Roman"/>
                <w:sz w:val="24"/>
                <w:szCs w:val="24"/>
                <w:lang w:eastAsia="uk-UA"/>
              </w:rPr>
            </w:pPr>
            <w:r>
              <w:rPr>
                <w:sz w:val="24"/>
                <w:szCs w:val="24"/>
                <w:lang w:eastAsia="uk-UA"/>
              </w:rPr>
              <w:t>2,5</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uto" w:line="312" w:before="0" w:after="0"/>
              <w:ind w:left="0" w:right="0" w:hanging="0"/>
              <w:jc w:val="center"/>
              <w:rPr>
                <w:rFonts w:ascii="Times New Roman" w:hAnsi="Times New Roman"/>
                <w:sz w:val="24"/>
                <w:szCs w:val="24"/>
                <w:lang w:eastAsia="uk-UA"/>
              </w:rPr>
            </w:pPr>
            <w:r>
              <w:rPr>
                <w:sz w:val="24"/>
                <w:szCs w:val="24"/>
                <w:lang w:eastAsia="uk-UA"/>
              </w:rPr>
              <w:t>18</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rPr>
                <w:rFonts w:ascii="Times New Roman" w:hAnsi="Times New Roman"/>
                <w:sz w:val="24"/>
                <w:szCs w:val="24"/>
                <w:lang w:eastAsia="uk-UA"/>
              </w:rPr>
            </w:pPr>
            <w:r>
              <w:rPr>
                <w:sz w:val="24"/>
                <w:szCs w:val="24"/>
                <w:lang w:eastAsia="uk-UA"/>
              </w:rPr>
              <w:t>Цинк</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pPr>
            <w:r>
              <w:rPr>
                <w:sz w:val="24"/>
                <w:szCs w:val="24"/>
                <w:lang w:eastAsia="uk-UA"/>
              </w:rPr>
              <w:t>мг/дм</w:t>
            </w:r>
            <w:r>
              <w:rPr>
                <w:bCs/>
                <w:sz w:val="24"/>
                <w:szCs w:val="24"/>
                <w:vertAlign w:val="superscript"/>
                <w:lang w:eastAsia="uk-UA"/>
              </w:rPr>
              <w:t>-3</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rFonts w:ascii="Times New Roman" w:hAnsi="Times New Roman"/>
                <w:sz w:val="24"/>
                <w:szCs w:val="24"/>
                <w:lang w:eastAsia="uk-UA"/>
              </w:rPr>
            </w:pPr>
            <w:r>
              <w:rPr>
                <w:sz w:val="24"/>
                <w:szCs w:val="24"/>
                <w:lang w:eastAsia="uk-UA"/>
              </w:rPr>
              <w:t>1</w:t>
            </w:r>
          </w:p>
        </w:tc>
      </w:tr>
      <w:tr>
        <w:trPr>
          <w:trHeight w:val="227" w:hRule="atLeast"/>
        </w:trPr>
        <w:tc>
          <w:tcPr>
            <w:tcW w:w="43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uto" w:line="312" w:before="0" w:after="0"/>
              <w:ind w:left="0" w:right="0" w:hanging="0"/>
              <w:jc w:val="center"/>
              <w:rPr>
                <w:rFonts w:ascii="Times New Roman" w:hAnsi="Times New Roman"/>
                <w:sz w:val="24"/>
                <w:szCs w:val="24"/>
                <w:lang w:eastAsia="uk-UA"/>
              </w:rPr>
            </w:pPr>
            <w:r>
              <w:rPr>
                <w:sz w:val="24"/>
                <w:szCs w:val="24"/>
                <w:lang w:eastAsia="uk-UA"/>
              </w:rPr>
              <w:t>19</w:t>
            </w:r>
          </w:p>
        </w:tc>
        <w:tc>
          <w:tcPr>
            <w:tcW w:w="409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rPr>
                <w:rFonts w:ascii="Times New Roman" w:hAnsi="Times New Roman"/>
                <w:sz w:val="24"/>
                <w:szCs w:val="24"/>
                <w:lang w:eastAsia="uk-UA"/>
              </w:rPr>
            </w:pPr>
            <w:r>
              <w:rPr>
                <w:sz w:val="24"/>
                <w:szCs w:val="24"/>
                <w:lang w:eastAsia="uk-UA"/>
              </w:rPr>
              <w:t>Мідь</w:t>
            </w:r>
          </w:p>
        </w:tc>
        <w:tc>
          <w:tcPr>
            <w:tcW w:w="18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pPr>
            <w:r>
              <w:rPr>
                <w:sz w:val="24"/>
                <w:szCs w:val="24"/>
                <w:lang w:eastAsia="uk-UA"/>
              </w:rPr>
              <w:t>мг/дм</w:t>
            </w:r>
            <w:r>
              <w:rPr>
                <w:bCs/>
                <w:sz w:val="24"/>
                <w:szCs w:val="24"/>
                <w:vertAlign w:val="superscript"/>
                <w:lang w:eastAsia="uk-UA"/>
              </w:rPr>
              <w:t>-3</w:t>
            </w:r>
          </w:p>
        </w:tc>
        <w:tc>
          <w:tcPr>
            <w:tcW w:w="28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bidi w:val="0"/>
              <w:spacing w:lineRule="atLeast" w:line="26" w:before="0" w:after="0"/>
              <w:ind w:left="0" w:right="0" w:hanging="0"/>
              <w:jc w:val="center"/>
              <w:rPr>
                <w:rFonts w:ascii="Times New Roman" w:hAnsi="Times New Roman"/>
                <w:sz w:val="24"/>
                <w:szCs w:val="24"/>
                <w:lang w:eastAsia="uk-UA"/>
              </w:rPr>
            </w:pPr>
            <w:r>
              <w:rPr>
                <w:sz w:val="24"/>
                <w:szCs w:val="24"/>
                <w:lang w:eastAsia="uk-UA"/>
              </w:rPr>
              <w:t>0,5</w:t>
            </w:r>
          </w:p>
        </w:tc>
      </w:tr>
    </w:tbl>
    <w:p>
      <w:pPr>
        <w:pStyle w:val="Normal"/>
        <w:spacing w:before="0" w:after="0"/>
        <w:rPr>
          <w:rFonts w:ascii="Calibri" w:hAnsi="Calibri" w:cs="Times New Roman"/>
          <w:sz w:val="22"/>
          <w:szCs w:val="22"/>
          <w:lang w:val="uk-UA" w:eastAsia="en-US" w:bidi="ar-SA"/>
        </w:rPr>
      </w:pPr>
      <w:r>
        <w:rPr>
          <w:rFonts w:cs="Times New Roman" w:ascii="Calibri" w:hAnsi="Calibri"/>
          <w:sz w:val="22"/>
          <w:szCs w:val="22"/>
          <w:lang w:val="uk-UA" w:eastAsia="en-US" w:bidi="ar-SA"/>
        </w:rPr>
      </w:r>
    </w:p>
    <w:p>
      <w:pPr>
        <w:pStyle w:val="Style22"/>
        <w:widowControl/>
        <w:spacing w:before="0" w:after="0"/>
        <w:ind w:left="0" w:right="0" w:firstLine="709"/>
        <w:jc w:val="both"/>
        <w:rPr>
          <w:color w:val="000000"/>
          <w:sz w:val="28"/>
          <w:szCs w:val="28"/>
        </w:rPr>
      </w:pPr>
      <w:r>
        <w:rPr>
          <w:color w:val="000000"/>
          <w:sz w:val="28"/>
          <w:szCs w:val="28"/>
        </w:rPr>
        <w:t>* Ці показники зростають відповідно до вмісту зазначених солей у воді місцевого водопроводу.</w:t>
      </w:r>
      <w:r>
        <w:br w:type="page"/>
      </w:r>
    </w:p>
    <w:p>
      <w:pPr>
        <w:pStyle w:val="Style22"/>
        <w:widowControl/>
        <w:spacing w:before="0" w:after="0"/>
        <w:ind w:left="0" w:right="0" w:firstLine="709"/>
        <w:jc w:val="right"/>
        <w:rPr>
          <w:b/>
          <w:b/>
          <w:color w:val="000000"/>
          <w:sz w:val="28"/>
          <w:szCs w:val="28"/>
        </w:rPr>
      </w:pPr>
      <w:r>
        <w:rPr>
          <w:b/>
          <w:color w:val="000000"/>
          <w:sz w:val="28"/>
          <w:szCs w:val="28"/>
        </w:rPr>
        <w:t>Додаток 5</w:t>
      </w:r>
    </w:p>
    <w:p>
      <w:pPr>
        <w:pStyle w:val="Style22"/>
        <w:widowControl/>
        <w:spacing w:before="0" w:after="0"/>
        <w:ind w:left="0" w:right="0" w:firstLine="709"/>
        <w:jc w:val="right"/>
        <w:rPr/>
      </w:pPr>
      <w:r>
        <w:rPr>
          <w:rStyle w:val="Style14"/>
          <w:b/>
          <w:color w:val="000000"/>
          <w:sz w:val="28"/>
          <w:szCs w:val="28"/>
        </w:rPr>
        <w:t>до Місцевих правил</w:t>
      </w:r>
      <w:r>
        <w:rPr>
          <w:rStyle w:val="Style14"/>
          <w:color w:val="000000"/>
          <w:sz w:val="28"/>
          <w:szCs w:val="28"/>
        </w:rPr>
        <w:t xml:space="preserve"> </w:t>
      </w:r>
      <w:r>
        <w:rPr>
          <w:rStyle w:val="Style14"/>
          <w:b/>
          <w:color w:val="000000"/>
          <w:sz w:val="28"/>
          <w:szCs w:val="28"/>
        </w:rPr>
        <w:t>приймання</w:t>
      </w:r>
    </w:p>
    <w:p>
      <w:pPr>
        <w:pStyle w:val="Style22"/>
        <w:widowControl/>
        <w:spacing w:before="0" w:after="0"/>
        <w:ind w:left="0" w:right="0" w:firstLine="709"/>
        <w:jc w:val="right"/>
        <w:rPr>
          <w:b/>
          <w:b/>
          <w:color w:val="000000"/>
          <w:sz w:val="28"/>
          <w:szCs w:val="28"/>
        </w:rPr>
      </w:pPr>
      <w:r>
        <w:rPr>
          <w:b/>
          <w:color w:val="000000"/>
          <w:sz w:val="28"/>
          <w:szCs w:val="28"/>
        </w:rPr>
        <w:t>стічних вод до систем централізованого</w:t>
      </w:r>
    </w:p>
    <w:p>
      <w:pPr>
        <w:pStyle w:val="Style22"/>
        <w:widowControl/>
        <w:spacing w:before="0" w:after="0"/>
        <w:ind w:left="0" w:right="0" w:firstLine="709"/>
        <w:jc w:val="right"/>
        <w:rPr>
          <w:b/>
          <w:b/>
          <w:color w:val="000000"/>
          <w:sz w:val="28"/>
          <w:szCs w:val="28"/>
        </w:rPr>
      </w:pPr>
      <w:r>
        <w:rPr>
          <w:b/>
          <w:color w:val="000000"/>
          <w:sz w:val="28"/>
          <w:szCs w:val="28"/>
        </w:rPr>
        <w:t>водовідведення міста Тернопіль</w:t>
      </w:r>
    </w:p>
    <w:p>
      <w:pPr>
        <w:pStyle w:val="Style22"/>
        <w:widowControl/>
        <w:spacing w:before="0" w:after="0"/>
        <w:ind w:left="0" w:right="0" w:firstLine="709"/>
        <w:jc w:val="center"/>
        <w:rPr>
          <w:b/>
          <w:b/>
          <w:color w:val="000000"/>
          <w:sz w:val="28"/>
          <w:szCs w:val="28"/>
        </w:rPr>
      </w:pPr>
      <w:bookmarkStart w:id="127" w:name="n196"/>
      <w:bookmarkEnd w:id="127"/>
      <w:r>
        <w:rPr>
          <w:b/>
          <w:color w:val="000000"/>
          <w:sz w:val="28"/>
          <w:szCs w:val="28"/>
        </w:rPr>
        <w:t>ДОПУСТИМІ ВЕЛИЧИНИ</w:t>
      </w:r>
    </w:p>
    <w:p>
      <w:pPr>
        <w:pStyle w:val="Style22"/>
        <w:widowControl/>
        <w:spacing w:before="0" w:after="0"/>
        <w:ind w:left="0" w:right="0" w:firstLine="709"/>
        <w:jc w:val="center"/>
        <w:rPr>
          <w:b/>
          <w:b/>
          <w:color w:val="000000"/>
          <w:sz w:val="28"/>
          <w:szCs w:val="28"/>
        </w:rPr>
      </w:pPr>
      <w:r>
        <w:rPr>
          <w:b/>
          <w:color w:val="000000"/>
          <w:sz w:val="28"/>
          <w:szCs w:val="28"/>
        </w:rPr>
        <w:t>показників якості стічних вод та ефективність видалення забруднень на спорудах біологічного очищення</w:t>
      </w:r>
    </w:p>
    <w:p>
      <w:pPr>
        <w:pStyle w:val="Normal"/>
        <w:ind w:left="0" w:right="0" w:firstLine="709"/>
        <w:jc w:val="both"/>
        <w:rPr>
          <w:color w:val="000000"/>
          <w:sz w:val="28"/>
          <w:szCs w:val="28"/>
        </w:rPr>
      </w:pPr>
      <w:r>
        <w:rPr>
          <w:color w:val="000000"/>
          <w:sz w:val="28"/>
          <w:szCs w:val="28"/>
        </w:rPr>
      </w:r>
      <w:bookmarkStart w:id="128" w:name="n197"/>
      <w:bookmarkStart w:id="129" w:name="n197"/>
      <w:bookmarkEnd w:id="129"/>
    </w:p>
    <w:tbl>
      <w:tblPr>
        <w:tblW w:w="5000" w:type="pct"/>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5" w:type="dxa"/>
          <w:bottom w:w="28" w:type="dxa"/>
          <w:right w:w="28" w:type="dxa"/>
        </w:tblCellMar>
      </w:tblPr>
      <w:tblGrid>
        <w:gridCol w:w="584"/>
        <w:gridCol w:w="3027"/>
        <w:gridCol w:w="1613"/>
        <w:gridCol w:w="1619"/>
        <w:gridCol w:w="1477"/>
        <w:gridCol w:w="1318"/>
      </w:tblGrid>
      <w:tr>
        <w:trPr>
          <w:trHeight w:val="836"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 xml:space="preserve">№ </w:t>
            </w:r>
            <w:r>
              <w:rPr>
                <w:color w:val="000000"/>
                <w:sz w:val="28"/>
                <w:szCs w:val="28"/>
              </w:rPr>
              <w:t>з/п</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Найменування речовини</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ГДК забруднень у стічних водах, що надходять на споруди біологічного очищення (г/м-3)</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Орієнтовна ефективність видалення забруднень на спорудах біологічного очищення (у частках одиниці)</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Лімітуюча ознака шкідливості</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Клас небезпеки</w:t>
            </w:r>
          </w:p>
        </w:tc>
      </w:tr>
      <w:tr>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6</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Азот амонійний</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0,2-0,6</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Акрилова кислота</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0,8</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Акрилонітрил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150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Алкіларилсульфонати</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0,8</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Алкілбензолсульфонати</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0,8</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6</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Аміни С7-С9</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7</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Аміни С10-С15</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8</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Аміни С16-С20</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9</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Алюміній</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0,9</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Арсен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11</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Ацетальдегід</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0,95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12</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Ацетон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0,95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заг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13</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Барій</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10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0,95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14</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Бензин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100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15</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Бензойна кислота</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15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0,60</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заг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16</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Бензол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100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17</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Бензопірен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0,9</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1</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18</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Бутилацетат</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заг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1</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19</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Бутилакрелат</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0,8</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20</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Бутиловий спирт нормальний</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0,35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21</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Вінілацетат</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0,2</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22</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Вирівнювач А</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0,3</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23</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Гідразингідрат</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24</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Гідрохінон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0,2</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25</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Гліказин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0,45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26</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Гліцерин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90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заг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27</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Дибутилфталат</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0,2</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заг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28</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Диметилфенілкарбинол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0,8</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29</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Дибутилацетамід</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0,98</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30</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Діетаноламід</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31</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Діетаноламін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32</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Діетиламін солянокислий</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0,4</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33</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Діетиленгліколь</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34</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Залізо (загальне)</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35</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Жири рослинні і тваринні-1</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0,7</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36</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Закріплювач ДЦМ</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37</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Закріплювач ДЦУ</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38</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Закріплювач У-2</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0,7</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39</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Ізобутиловий спирт</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0,8</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40</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Кадмій</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0,01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0,6</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41</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Капролактам</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заг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42</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Карбоксиметилцелюлоза</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за БСК</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заг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43</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Кобальт</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44</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Ксилол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45</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Барвники сірчисті</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46</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Барвники синтетичні (кислотні)</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47</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Крезоли</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0,4</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48</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Кротоновий альдегід</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6</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49</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Латекс ЛМФ</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50</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Лудигол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0,7</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51</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Малеїнова кислота</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60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52</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Марганець</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53</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Масляна кислота</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500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0,1</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заг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54</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Мідь</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0,4</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55</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Метазин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0,4</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56</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Метанол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0,95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57</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Метилметакрилат</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500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0,8</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58</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Метилстирол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59</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Метилетилкетон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0,8</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60</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Моноетаноламін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0,6</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61</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Молібден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0,4</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62</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Нафта та нафтопродукти-2</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0,85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63</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Нікель</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64</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Нітрати (за NO3)</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65</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Нітрити</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3,3</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66</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Олово</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67</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Поліакриламід</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0,05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68</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Полівініловий спирт</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69</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Полівінілацетатна емульсія</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0,23</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70</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Пропіловий спирт</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12</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заг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71</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Резорцин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12</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0,95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заг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72</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Ртуть</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0,005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0,6</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73</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Свинець</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74</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Селен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75</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Сечовина</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за БСК</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заг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76</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Сірководень</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заг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77</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Сірковуглець</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78</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Синтетичні поверхнево активні речовини (СПАР) аніонні-3</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0,8</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79</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СПАР неіоногенні-3</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0,8</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80</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Стирол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0,6</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81</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Стронцій</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26</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0,14</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82</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Сульфіди</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заг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83</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Тіосечовина</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84</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Титан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заг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85</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Толуол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0,6</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86</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Трилон Б</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0,4</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87</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Трикрезолфосфат</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0,4</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88</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Триетаноламін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0,47</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89</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Оцтова кислота</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0,95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заг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90</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Оцтово-етиловий ефір</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13</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91</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Фенол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0,95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92</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Формальдегід</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0,8</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93</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Фосфати</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заг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94</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Фталева кислота</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заг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95</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Хром (тривалентний)</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96</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Хром (шестивалентний)</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0,5</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97</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Ціаніди</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0,7</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98</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Цинк</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0,3</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заг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99</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Етанол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14</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100</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Етиленгліколь</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1000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0,8</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101</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Етилхлоргідрин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5</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w:t>
            </w:r>
          </w:p>
        </w:tc>
      </w:tr>
      <w:tr>
        <w:trPr>
          <w:trHeight w:val="401" w:hRule="atLeast"/>
        </w:trPr>
        <w:tc>
          <w:tcPr>
            <w:tcW w:w="9638" w:type="dxa"/>
            <w:gridSpan w:val="6"/>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Речовини, які не піддаються біологічній деструкції-4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102</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Анізол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103</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Ацетофенон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104</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Гексахлорбензол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105</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Гексаген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106</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Гексахлоран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107</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Гексаметилендіамін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108</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2,3-дихлор-1,4-нафтохінон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109</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Диметилдихлорвініл- фосфат</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110</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ДДТ (технічний)</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111</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Діетиланілін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112</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Діетилртуть</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1</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113</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Діетиловий ефір малеїнової кислоти</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114</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Дихлоранілін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115</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Дихлорбензол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116</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Дихлоргідрин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117</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Дихлоретан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118</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Діетилдитіофосфорна кислота</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119</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Діетиловий ефір</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120</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Ізопропіламін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121</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Ізопрен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122</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Карбофос</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123</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Меркаптодіетиламін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124</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Метафос</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125</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Метилнітрофос</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126</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Натрій-5</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200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127</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Нітробензол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128</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Нітрохлорбензол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129</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Пентаеритрит</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130</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Петролатум</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w:t>
            </w:r>
          </w:p>
        </w:tc>
      </w:tr>
      <w:tr>
        <w:trPr>
          <w:trHeight w:val="61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131</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Пікринова кислота</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132</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Пірогалол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133</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Поліхлорпінен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134</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Поліетиленімін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135</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Пропіл бензол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136</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Сульфати-5</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500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137</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Тетрахлорбензол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138</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Тетраетилсвинець</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1</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139</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Трифторхлорпропан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140</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Триетиламін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141</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Тетрахлоргептан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142</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Тетрахлорнонан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143</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Тетрахлорпентан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144</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Тетрахлорпропан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145</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Тетрахлорундекан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146</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Тетрахлоретан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147</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Тіофен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148</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Тіофос</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149</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Трибутилфосфат</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150</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Трихлорбензол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151</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Фенілендіамін (n)</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152</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Фозалон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153</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Фосфамід</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154</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Фурфурол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155</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Хлориди 5</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350</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156</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Хлорбензол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3</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157</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Хлоропрен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158</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Циклогексан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159</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Циклогексанол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160</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Циклогексаноксин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161</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Циклогексан</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2</w:t>
            </w:r>
          </w:p>
        </w:tc>
      </w:tr>
      <w:tr>
        <w:trPr>
          <w:trHeight w:val="401"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162</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Чотирихлористий вуглець</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с-т</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2</w:t>
            </w:r>
          </w:p>
        </w:tc>
      </w:tr>
      <w:tr>
        <w:trPr>
          <w:trHeight w:val="416" w:hRule="atLeast"/>
        </w:trPr>
        <w:tc>
          <w:tcPr>
            <w:tcW w:w="58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Style26"/>
              <w:jc w:val="both"/>
              <w:rPr>
                <w:color w:val="000000"/>
                <w:sz w:val="28"/>
                <w:szCs w:val="28"/>
              </w:rPr>
            </w:pPr>
            <w:r>
              <w:rPr>
                <w:color w:val="000000"/>
                <w:sz w:val="28"/>
                <w:szCs w:val="28"/>
              </w:rPr>
              <w:t>163</w:t>
            </w:r>
          </w:p>
        </w:tc>
        <w:tc>
          <w:tcPr>
            <w:tcW w:w="3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Етилбензол</w:t>
            </w:r>
          </w:p>
        </w:tc>
        <w:tc>
          <w:tcPr>
            <w:tcW w:w="161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6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w:t>
            </w:r>
          </w:p>
        </w:tc>
        <w:tc>
          <w:tcPr>
            <w:tcW w:w="147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орг</w:t>
            </w:r>
          </w:p>
        </w:tc>
        <w:tc>
          <w:tcPr>
            <w:tcW w:w="13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jc w:val="both"/>
              <w:rPr>
                <w:color w:val="000000"/>
                <w:sz w:val="28"/>
                <w:szCs w:val="28"/>
              </w:rPr>
            </w:pPr>
            <w:r>
              <w:rPr>
                <w:color w:val="000000"/>
                <w:sz w:val="28"/>
                <w:szCs w:val="28"/>
              </w:rPr>
              <w:t>4</w:t>
            </w:r>
          </w:p>
        </w:tc>
      </w:tr>
    </w:tbl>
    <w:p>
      <w:pPr>
        <w:pStyle w:val="Style22"/>
        <w:widowControl/>
        <w:pBdr>
          <w:bottom w:val="single" w:sz="8" w:space="2" w:color="000000"/>
        </w:pBdr>
        <w:spacing w:before="0" w:after="0"/>
        <w:ind w:left="0" w:right="0" w:firstLine="709"/>
        <w:jc w:val="both"/>
        <w:rPr>
          <w:color w:val="000000"/>
          <w:sz w:val="28"/>
          <w:szCs w:val="28"/>
        </w:rPr>
      </w:pPr>
      <w:r>
        <w:rPr>
          <w:color w:val="000000"/>
          <w:sz w:val="28"/>
          <w:szCs w:val="28"/>
        </w:rPr>
      </w:r>
    </w:p>
    <w:p>
      <w:pPr>
        <w:pStyle w:val="Style22"/>
        <w:widowControl/>
        <w:spacing w:before="0" w:after="0"/>
        <w:ind w:left="0" w:right="0" w:firstLine="709"/>
        <w:jc w:val="both"/>
        <w:rPr>
          <w:color w:val="000000"/>
          <w:sz w:val="28"/>
          <w:szCs w:val="28"/>
        </w:rPr>
      </w:pPr>
      <w:r>
        <w:rPr>
          <w:color w:val="000000"/>
          <w:sz w:val="28"/>
          <w:szCs w:val="28"/>
        </w:rPr>
        <w:t>-1 Вміст жирів у стічних водах, які надходять на біофільтри, допускають не більше 10 г/м-3.</w:t>
      </w:r>
    </w:p>
    <w:p>
      <w:pPr>
        <w:pStyle w:val="Style22"/>
        <w:widowControl/>
        <w:spacing w:before="0" w:after="0"/>
        <w:ind w:left="0" w:right="0" w:firstLine="709"/>
        <w:jc w:val="both"/>
        <w:rPr>
          <w:color w:val="000000"/>
          <w:sz w:val="28"/>
          <w:szCs w:val="28"/>
        </w:rPr>
      </w:pPr>
      <w:r>
        <w:rPr>
          <w:color w:val="000000"/>
          <w:sz w:val="28"/>
          <w:szCs w:val="28"/>
        </w:rPr>
        <w:t>-2 Нафтопродукти - малополярні та неполярні речовини, які розчиняються у гексані. Вміст нафти та нафтопродуктів у стічних водах, які надходять на біофільтри, допускають не більше 5 г/м-3.</w:t>
      </w:r>
    </w:p>
    <w:p>
      <w:pPr>
        <w:pStyle w:val="Style22"/>
        <w:widowControl/>
        <w:spacing w:before="0" w:after="0"/>
        <w:ind w:left="0" w:right="0" w:firstLine="709"/>
        <w:jc w:val="both"/>
        <w:rPr>
          <w:color w:val="000000"/>
          <w:sz w:val="28"/>
          <w:szCs w:val="28"/>
        </w:rPr>
      </w:pPr>
      <w:r>
        <w:rPr>
          <w:color w:val="000000"/>
          <w:sz w:val="28"/>
          <w:szCs w:val="28"/>
        </w:rPr>
        <w:t>-3 За наявності у стічних водах суміші аніонних та неіоногенних ПАР їх загальна концентрація на спорудах біологічного очищення не повинна перевищувати 20 г/м-3.</w:t>
      </w:r>
    </w:p>
    <w:p>
      <w:pPr>
        <w:pStyle w:val="Style22"/>
        <w:widowControl/>
        <w:spacing w:before="0" w:after="0"/>
        <w:ind w:left="0" w:right="0" w:firstLine="709"/>
        <w:jc w:val="both"/>
        <w:rPr>
          <w:color w:val="000000"/>
          <w:sz w:val="28"/>
          <w:szCs w:val="28"/>
        </w:rPr>
      </w:pPr>
      <w:r>
        <w:rPr>
          <w:color w:val="000000"/>
          <w:sz w:val="28"/>
          <w:szCs w:val="28"/>
        </w:rPr>
        <w:t>-4 Для речовин, які не піддаються біологічній деструкції, гранична концентрація в стічних водах, що надходять до споруд біологічного очищення, не повинна перевищувати її ГДК у воді водного об'єкта, що використовується для господарсько-питного водопостачання чи рибогосподарських потреб.</w:t>
      </w:r>
    </w:p>
    <w:p>
      <w:pPr>
        <w:pStyle w:val="Style22"/>
        <w:widowControl/>
        <w:spacing w:before="0" w:after="0"/>
        <w:ind w:left="0" w:right="0" w:firstLine="709"/>
        <w:jc w:val="both"/>
        <w:rPr>
          <w:color w:val="000000"/>
          <w:sz w:val="28"/>
          <w:szCs w:val="28"/>
        </w:rPr>
      </w:pPr>
      <w:r>
        <w:rPr>
          <w:color w:val="000000"/>
          <w:sz w:val="28"/>
          <w:szCs w:val="28"/>
        </w:rPr>
        <w:t>-5 Вміст цих речовин у воді, яка надходить на очисні споруди, зростає відповідно до їх вмісту у воді місцевого водопроводу.</w:t>
      </w:r>
      <w:r>
        <w:br w:type="page"/>
      </w:r>
    </w:p>
    <w:p>
      <w:pPr>
        <w:pStyle w:val="Normal"/>
        <w:autoSpaceDE w:val="false"/>
        <w:jc w:val="right"/>
        <w:rPr/>
      </w:pPr>
      <w:r>
        <w:rPr>
          <w:rStyle w:val="Style14"/>
          <w:bCs/>
          <w:i/>
          <w:iCs/>
          <w:color w:val="000000"/>
        </w:rPr>
        <w:t xml:space="preserve"> </w:t>
      </w:r>
      <w:r>
        <w:rPr>
          <w:rStyle w:val="Style14"/>
          <w:b/>
          <w:bCs/>
          <w:i/>
          <w:iCs/>
          <w:color w:val="000000"/>
          <w:sz w:val="28"/>
          <w:szCs w:val="28"/>
        </w:rPr>
        <w:t>Додаток 6</w:t>
      </w:r>
    </w:p>
    <w:p>
      <w:pPr>
        <w:pStyle w:val="Style22"/>
        <w:widowControl/>
        <w:spacing w:before="0" w:after="0"/>
        <w:ind w:left="0" w:right="0" w:firstLine="709"/>
        <w:jc w:val="right"/>
        <w:rPr/>
      </w:pPr>
      <w:r>
        <w:rPr>
          <w:rStyle w:val="Style14"/>
          <w:b/>
          <w:color w:val="000000"/>
          <w:sz w:val="28"/>
          <w:szCs w:val="28"/>
        </w:rPr>
        <w:t>до Місцевих правил</w:t>
      </w:r>
      <w:r>
        <w:rPr>
          <w:rStyle w:val="Style14"/>
          <w:color w:val="000000"/>
          <w:sz w:val="28"/>
          <w:szCs w:val="28"/>
        </w:rPr>
        <w:t xml:space="preserve"> </w:t>
      </w:r>
      <w:r>
        <w:rPr>
          <w:rStyle w:val="Style14"/>
          <w:b/>
          <w:color w:val="000000"/>
          <w:sz w:val="28"/>
          <w:szCs w:val="28"/>
        </w:rPr>
        <w:t>приймання</w:t>
      </w:r>
    </w:p>
    <w:p>
      <w:pPr>
        <w:pStyle w:val="Style22"/>
        <w:widowControl/>
        <w:spacing w:before="0" w:after="0"/>
        <w:ind w:left="0" w:right="0" w:firstLine="709"/>
        <w:jc w:val="right"/>
        <w:rPr>
          <w:b/>
          <w:b/>
          <w:color w:val="000000"/>
          <w:sz w:val="28"/>
          <w:szCs w:val="28"/>
        </w:rPr>
      </w:pPr>
      <w:r>
        <w:rPr>
          <w:b/>
          <w:color w:val="000000"/>
          <w:sz w:val="28"/>
          <w:szCs w:val="28"/>
        </w:rPr>
        <w:t>стічних вод до систем централізованого</w:t>
      </w:r>
    </w:p>
    <w:p>
      <w:pPr>
        <w:pStyle w:val="Normal"/>
        <w:autoSpaceDE w:val="false"/>
        <w:jc w:val="right"/>
        <w:rPr>
          <w:b/>
          <w:b/>
          <w:bCs/>
          <w:color w:val="000000"/>
          <w:sz w:val="28"/>
          <w:szCs w:val="28"/>
        </w:rPr>
      </w:pPr>
      <w:r>
        <w:rPr>
          <w:b/>
          <w:bCs/>
          <w:color w:val="000000"/>
          <w:sz w:val="28"/>
          <w:szCs w:val="28"/>
        </w:rPr>
        <w:t>водовідведення міста Тернопіль</w:t>
      </w:r>
    </w:p>
    <w:p>
      <w:pPr>
        <w:pStyle w:val="Normal"/>
        <w:jc w:val="center"/>
        <w:rPr>
          <w:sz w:val="20"/>
          <w:szCs w:val="20"/>
        </w:rPr>
      </w:pPr>
      <w:r>
        <w:rPr>
          <w:sz w:val="20"/>
          <w:szCs w:val="20"/>
        </w:rPr>
      </w:r>
    </w:p>
    <w:p>
      <w:pPr>
        <w:pStyle w:val="Normal"/>
        <w:jc w:val="center"/>
        <w:rPr>
          <w:sz w:val="20"/>
          <w:szCs w:val="20"/>
        </w:rPr>
      </w:pPr>
      <w:r>
        <w:rPr>
          <w:sz w:val="20"/>
          <w:szCs w:val="20"/>
        </w:rPr>
        <w:t>КОМУНАЛЬНЕ ПІДПРИЄМСТВО “ТЕРНОПІЛЬВОДОКАНАЛ”</w:t>
      </w:r>
    </w:p>
    <w:p>
      <w:pPr>
        <w:pStyle w:val="Normal"/>
        <w:rPr/>
      </w:pPr>
      <w:r>
        <w:rPr>
          <w:rStyle w:val="Style14"/>
          <w:sz w:val="20"/>
          <w:szCs w:val="20"/>
        </w:rPr>
        <w:t xml:space="preserve">      </w:t>
      </w:r>
      <w:r>
        <w:rPr>
          <w:rStyle w:val="Style14"/>
          <w:sz w:val="20"/>
          <w:szCs w:val="20"/>
        </w:rPr>
        <w:t xml:space="preserve">вул. Танцорова, 7                                                                                                                    тел. 52 </w:t>
      </w:r>
      <w:r>
        <w:rPr>
          <w:rStyle w:val="Style14"/>
          <w:sz w:val="20"/>
          <w:szCs w:val="20"/>
          <w:lang w:val="en-US"/>
        </w:rPr>
        <w:t>09</w:t>
      </w:r>
      <w:r>
        <w:rPr>
          <w:rStyle w:val="Style14"/>
          <w:sz w:val="20"/>
          <w:szCs w:val="20"/>
        </w:rPr>
        <w:t xml:space="preserve"> </w:t>
      </w:r>
      <w:r>
        <w:rPr>
          <w:rStyle w:val="Style14"/>
          <w:sz w:val="20"/>
          <w:szCs w:val="20"/>
          <w:lang w:val="en-US"/>
        </w:rPr>
        <w:t>79</w:t>
      </w:r>
    </w:p>
    <w:p>
      <w:pPr>
        <w:pStyle w:val="Normal"/>
        <w:jc w:val="center"/>
        <w:rPr>
          <w:b/>
          <w:b/>
          <w:i/>
          <w:i/>
        </w:rPr>
      </w:pPr>
      <w:r>
        <w:rPr>
          <w:b/>
          <w:i/>
        </w:rPr>
        <w:t>АКТ ВІДБОРУ ПРОБ СТІЧНИХ ВОД</w:t>
      </w:r>
    </w:p>
    <w:p>
      <w:pPr>
        <w:pStyle w:val="Normal"/>
        <w:jc w:val="center"/>
        <w:rPr>
          <w:i/>
          <w:i/>
          <w:sz w:val="20"/>
          <w:szCs w:val="20"/>
        </w:rPr>
      </w:pPr>
      <w:r>
        <w:rPr>
          <w:i/>
          <w:sz w:val="20"/>
          <w:szCs w:val="20"/>
        </w:rPr>
      </w:r>
    </w:p>
    <w:p>
      <w:pPr>
        <w:pStyle w:val="Normal"/>
        <w:jc w:val="center"/>
        <w:rPr>
          <w:sz w:val="20"/>
          <w:szCs w:val="20"/>
        </w:rPr>
      </w:pPr>
      <w:r>
        <w:rPr>
          <w:sz w:val="20"/>
          <w:szCs w:val="20"/>
        </w:rPr>
        <w:t>№</w:t>
      </w:r>
      <w:r>
        <w:rPr>
          <w:sz w:val="20"/>
          <w:szCs w:val="20"/>
        </w:rPr>
        <w:t>______ від _______________ 20__ р.</w:t>
      </w:r>
    </w:p>
    <w:p>
      <w:pPr>
        <w:pStyle w:val="Normal"/>
        <w:rPr>
          <w:sz w:val="20"/>
          <w:szCs w:val="20"/>
        </w:rPr>
      </w:pPr>
      <w:r>
        <w:rPr>
          <w:sz w:val="20"/>
          <w:szCs w:val="20"/>
        </w:rPr>
        <w:t xml:space="preserve">    </w:t>
      </w:r>
    </w:p>
    <w:p>
      <w:pPr>
        <w:pStyle w:val="Normal"/>
        <w:rPr/>
      </w:pPr>
      <w:r>
        <w:rPr>
          <w:rStyle w:val="Style14"/>
          <w:sz w:val="20"/>
          <w:szCs w:val="20"/>
        </w:rPr>
        <w:t xml:space="preserve">        </w:t>
      </w:r>
      <w:r>
        <w:rPr>
          <w:rStyle w:val="Style14"/>
          <w:sz w:val="20"/>
          <w:szCs w:val="20"/>
        </w:rPr>
        <w:t>Нами, представниками  КП “Тернопільводоканал”,  лаборантом лабораторії водовідведення</w:t>
      </w:r>
    </w:p>
    <w:p>
      <w:pPr>
        <w:pStyle w:val="Normal"/>
        <w:rPr>
          <w:sz w:val="20"/>
          <w:szCs w:val="20"/>
        </w:rPr>
      </w:pPr>
      <w:r>
        <w:rPr>
          <w:sz w:val="20"/>
          <w:szCs w:val="20"/>
        </w:rPr>
        <w:t>________________________________________________________________________________________________</w:t>
      </w:r>
    </w:p>
    <w:p>
      <w:pPr>
        <w:pStyle w:val="Normal"/>
        <w:jc w:val="center"/>
        <w:rPr/>
      </w:pPr>
      <w:r>
        <w:rPr>
          <w:rStyle w:val="Style14"/>
          <w:sz w:val="16"/>
        </w:rPr>
        <w:t>(посада, прізвище, ім’я, по батькові, телефон)</w:t>
      </w:r>
    </w:p>
    <w:p>
      <w:pPr>
        <w:pStyle w:val="Normal"/>
        <w:rPr>
          <w:sz w:val="16"/>
          <w:szCs w:val="20"/>
        </w:rPr>
      </w:pPr>
      <w:r>
        <w:rPr>
          <w:sz w:val="16"/>
          <w:szCs w:val="20"/>
        </w:rPr>
      </w:r>
    </w:p>
    <w:p>
      <w:pPr>
        <w:pStyle w:val="Normal"/>
        <w:rPr>
          <w:sz w:val="20"/>
          <w:szCs w:val="20"/>
        </w:rPr>
      </w:pPr>
      <w:r>
        <w:rPr>
          <w:sz w:val="20"/>
          <w:szCs w:val="20"/>
        </w:rPr>
        <w:t>в присутності уповноваженого представника підприємства_____________________________________________</w:t>
      </w:r>
    </w:p>
    <w:p>
      <w:pPr>
        <w:pStyle w:val="Normal"/>
        <w:rPr>
          <w:sz w:val="20"/>
          <w:szCs w:val="20"/>
        </w:rPr>
      </w:pPr>
      <w:r>
        <w:rPr>
          <w:sz w:val="20"/>
          <w:szCs w:val="20"/>
        </w:rPr>
      </w:r>
    </w:p>
    <w:p>
      <w:pPr>
        <w:pStyle w:val="Normal"/>
        <w:rPr>
          <w:sz w:val="20"/>
          <w:szCs w:val="20"/>
        </w:rPr>
      </w:pPr>
      <w:r>
        <w:rPr>
          <w:sz w:val="20"/>
          <w:szCs w:val="20"/>
        </w:rPr>
        <w:t>________________________________________________________________________________________________</w:t>
      </w:r>
    </w:p>
    <w:p>
      <w:pPr>
        <w:pStyle w:val="Normal"/>
        <w:jc w:val="center"/>
        <w:rPr>
          <w:sz w:val="16"/>
          <w:szCs w:val="16"/>
        </w:rPr>
      </w:pPr>
      <w:r>
        <w:rPr>
          <w:sz w:val="16"/>
          <w:szCs w:val="16"/>
        </w:rPr>
        <w:t>(посада, прізвище, ім’я, по батькові, телефон)</w:t>
      </w:r>
    </w:p>
    <w:p>
      <w:pPr>
        <w:pStyle w:val="Normal"/>
        <w:jc w:val="both"/>
        <w:rPr/>
      </w:pPr>
      <w:r>
        <w:rPr>
          <w:rStyle w:val="Style14"/>
          <w:sz w:val="20"/>
          <w:szCs w:val="20"/>
        </w:rPr>
        <w:t xml:space="preserve">з метою </w:t>
      </w:r>
      <w:r>
        <w:rPr>
          <w:rStyle w:val="Style14"/>
          <w:i/>
          <w:sz w:val="20"/>
          <w:szCs w:val="20"/>
          <w:u w:val="single"/>
        </w:rPr>
        <w:t>здійснення  контролю  за  якістю  стічних  вод, що  скидаються у  міську каналізаційну  мережу</w:t>
      </w:r>
      <w:r>
        <w:rPr>
          <w:rStyle w:val="Style14"/>
          <w:i/>
          <w:sz w:val="20"/>
          <w:szCs w:val="20"/>
        </w:rPr>
        <w:t>______</w:t>
      </w:r>
    </w:p>
    <w:p>
      <w:pPr>
        <w:pStyle w:val="Normal"/>
        <w:jc w:val="both"/>
        <w:rPr/>
      </w:pPr>
      <w:r>
        <w:rPr>
          <w:rStyle w:val="Style14"/>
          <w:sz w:val="20"/>
          <w:szCs w:val="20"/>
        </w:rPr>
        <w:t xml:space="preserve">на виконання  </w:t>
      </w:r>
      <w:r>
        <w:rPr>
          <w:rStyle w:val="Style14"/>
          <w:i/>
          <w:sz w:val="20"/>
          <w:szCs w:val="20"/>
          <w:u w:val="single"/>
        </w:rPr>
        <w:t>вимог Правил приймання стічних вод підприємств в систему каналізації м. Тернопіль, затверджених «</w:t>
      </w:r>
      <w:r>
        <w:rPr>
          <w:rStyle w:val="Style14"/>
          <w:i/>
          <w:sz w:val="20"/>
          <w:szCs w:val="20"/>
        </w:rPr>
        <w:t>__</w:t>
      </w:r>
      <w:r>
        <w:rPr>
          <w:rStyle w:val="Style14"/>
          <w:i/>
          <w:sz w:val="20"/>
          <w:szCs w:val="20"/>
          <w:u w:val="single"/>
        </w:rPr>
        <w:t xml:space="preserve">» </w:t>
      </w:r>
      <w:r>
        <w:rPr>
          <w:rStyle w:val="Style14"/>
          <w:i/>
          <w:sz w:val="20"/>
          <w:szCs w:val="20"/>
        </w:rPr>
        <w:t>___________</w:t>
      </w:r>
      <w:r>
        <w:rPr>
          <w:rStyle w:val="Style14"/>
          <w:i/>
          <w:sz w:val="20"/>
          <w:szCs w:val="20"/>
          <w:u w:val="single"/>
        </w:rPr>
        <w:t xml:space="preserve"> 201</w:t>
      </w:r>
      <w:r>
        <w:rPr>
          <w:rStyle w:val="Style14"/>
          <w:i/>
          <w:sz w:val="20"/>
          <w:szCs w:val="20"/>
        </w:rPr>
        <w:t>_</w:t>
      </w:r>
      <w:r>
        <w:rPr>
          <w:rStyle w:val="Style14"/>
          <w:i/>
          <w:sz w:val="20"/>
          <w:szCs w:val="20"/>
          <w:u w:val="single"/>
        </w:rPr>
        <w:t xml:space="preserve"> р.</w:t>
      </w:r>
      <w:r>
        <w:rPr>
          <w:rStyle w:val="Style14"/>
          <w:sz w:val="20"/>
          <w:szCs w:val="20"/>
        </w:rPr>
        <w:t xml:space="preserve"> виконано відбір разових проб стічних вод</w:t>
      </w:r>
    </w:p>
    <w:p>
      <w:pPr>
        <w:pStyle w:val="Normal"/>
        <w:jc w:val="both"/>
        <w:rPr>
          <w:sz w:val="20"/>
          <w:szCs w:val="20"/>
        </w:rPr>
      </w:pPr>
      <w:r>
        <w:rPr>
          <w:sz w:val="20"/>
          <w:szCs w:val="20"/>
        </w:rPr>
        <w:t xml:space="preserve"> </w:t>
      </w:r>
      <w:r>
        <w:rPr>
          <w:sz w:val="20"/>
          <w:szCs w:val="20"/>
        </w:rPr>
        <w:t>_______________________________________________________________________________________________</w:t>
      </w:r>
    </w:p>
    <w:p>
      <w:pPr>
        <w:pStyle w:val="Normal"/>
        <w:jc w:val="center"/>
        <w:rPr>
          <w:sz w:val="16"/>
        </w:rPr>
      </w:pPr>
      <w:r>
        <w:rPr>
          <w:sz w:val="16"/>
        </w:rPr>
        <w:t>(назва підприємства,  адреса)</w:t>
      </w:r>
    </w:p>
    <w:p>
      <w:pPr>
        <w:pStyle w:val="Normal"/>
        <w:numPr>
          <w:ilvl w:val="0"/>
          <w:numId w:val="5"/>
        </w:numPr>
        <w:rPr>
          <w:b/>
          <w:b/>
          <w:sz w:val="20"/>
          <w:szCs w:val="20"/>
        </w:rPr>
      </w:pPr>
      <w:r>
        <w:rPr>
          <w:b/>
          <w:sz w:val="20"/>
          <w:szCs w:val="20"/>
        </w:rPr>
        <w:t>Нормативні документи (НД), відповідно до вимог яких виконано</w:t>
      </w:r>
    </w:p>
    <w:p>
      <w:pPr>
        <w:pStyle w:val="Normal"/>
        <w:tabs>
          <w:tab w:val="clear" w:pos="708"/>
        </w:tabs>
        <w:ind w:left="360" w:right="0" w:hanging="0"/>
        <w:rPr>
          <w:sz w:val="20"/>
          <w:szCs w:val="20"/>
        </w:rPr>
      </w:pPr>
      <w:r>
        <w:rPr>
          <w:sz w:val="20"/>
          <w:szCs w:val="20"/>
        </w:rPr>
        <w:t xml:space="preserve"> </w:t>
      </w:r>
      <w:r>
        <w:rPr>
          <w:sz w:val="20"/>
          <w:szCs w:val="20"/>
        </w:rPr>
        <w:t>Відбір проб:</w:t>
      </w:r>
    </w:p>
    <w:p>
      <w:pPr>
        <w:pStyle w:val="Normal"/>
        <w:numPr>
          <w:ilvl w:val="0"/>
          <w:numId w:val="2"/>
        </w:numPr>
        <w:tabs>
          <w:tab w:val="clear" w:pos="708"/>
          <w:tab w:val="left" w:pos="720" w:leader="none"/>
        </w:tabs>
        <w:ind w:left="720" w:right="0" w:hanging="0"/>
        <w:rPr>
          <w:sz w:val="20"/>
          <w:szCs w:val="20"/>
        </w:rPr>
      </w:pPr>
      <w:r>
        <w:rPr>
          <w:sz w:val="20"/>
          <w:szCs w:val="20"/>
        </w:rPr>
        <w:t>КНД 211.1.0.009 – 94 Відбір проб для визначення складу і властивостей стічних та технологічних вод.</w:t>
      </w:r>
    </w:p>
    <w:p>
      <w:pPr>
        <w:pStyle w:val="Normal"/>
        <w:numPr>
          <w:ilvl w:val="0"/>
          <w:numId w:val="2"/>
        </w:numPr>
        <w:tabs>
          <w:tab w:val="clear" w:pos="708"/>
          <w:tab w:val="left" w:pos="720" w:leader="none"/>
        </w:tabs>
        <w:ind w:left="720" w:right="0" w:hanging="0"/>
        <w:rPr/>
      </w:pPr>
      <w:r>
        <w:rPr>
          <w:rStyle w:val="Style14"/>
          <w:sz w:val="20"/>
          <w:szCs w:val="20"/>
        </w:rPr>
        <w:t>ДСТУ ISO 5667-10-2001 Частина 10. Настанови щодо відбирання проб  стічних вод;</w:t>
      </w:r>
    </w:p>
    <w:p>
      <w:pPr>
        <w:pStyle w:val="Normal"/>
        <w:numPr>
          <w:ilvl w:val="0"/>
          <w:numId w:val="2"/>
        </w:numPr>
        <w:tabs>
          <w:tab w:val="clear" w:pos="708"/>
          <w:tab w:val="left" w:pos="76" w:leader="none"/>
        </w:tabs>
        <w:rPr/>
      </w:pPr>
      <w:r>
        <w:rPr>
          <w:rStyle w:val="Style14"/>
          <w:sz w:val="20"/>
          <w:szCs w:val="20"/>
        </w:rPr>
        <w:t>ДСТУ ISO 5667-2-2003 “Якість води. Відбір проб. Частина 2. Настанови щодо методів відбирання</w:t>
      </w:r>
    </w:p>
    <w:p>
      <w:pPr>
        <w:pStyle w:val="Normal"/>
        <w:jc w:val="both"/>
        <w:rPr>
          <w:sz w:val="20"/>
          <w:szCs w:val="20"/>
        </w:rPr>
      </w:pPr>
      <w:r>
        <w:rPr>
          <w:sz w:val="20"/>
          <w:szCs w:val="20"/>
        </w:rPr>
        <w:t xml:space="preserve">       </w:t>
      </w:r>
      <w:r>
        <w:rPr>
          <w:sz w:val="20"/>
          <w:szCs w:val="20"/>
        </w:rPr>
        <w:t>Зберігання проб:</w:t>
      </w:r>
    </w:p>
    <w:p>
      <w:pPr>
        <w:pStyle w:val="Normal"/>
        <w:tabs>
          <w:tab w:val="clear" w:pos="708"/>
        </w:tabs>
        <w:ind w:left="90" w:right="0" w:hanging="0"/>
        <w:rPr/>
      </w:pPr>
      <w:r>
        <w:rPr>
          <w:rStyle w:val="Style14"/>
          <w:sz w:val="20"/>
          <w:szCs w:val="20"/>
        </w:rPr>
        <w:t xml:space="preserve">      </w:t>
      </w:r>
      <w:r>
        <w:rPr>
          <w:rStyle w:val="Style14"/>
          <w:sz w:val="20"/>
          <w:szCs w:val="20"/>
        </w:rPr>
        <w:t>-     ДСТУ ISO 5667-3-2001 Частина 3. Настанови щодо зберігання та поводження з пробами.</w:t>
      </w:r>
    </w:p>
    <w:p>
      <w:pPr>
        <w:pStyle w:val="Normal"/>
        <w:tabs>
          <w:tab w:val="clear" w:pos="708"/>
        </w:tabs>
        <w:ind w:left="90" w:right="0" w:hanging="0"/>
        <w:rPr>
          <w:sz w:val="20"/>
          <w:szCs w:val="20"/>
        </w:rPr>
      </w:pPr>
      <w:r>
        <w:rPr>
          <w:sz w:val="20"/>
          <w:szCs w:val="20"/>
        </w:rPr>
        <w:t xml:space="preserve">      </w:t>
      </w:r>
      <w:r>
        <w:rPr>
          <w:sz w:val="20"/>
          <w:szCs w:val="20"/>
        </w:rPr>
        <w:t>-     Методики виконання вимірювань</w:t>
      </w:r>
    </w:p>
    <w:p>
      <w:pPr>
        <w:pStyle w:val="Normal"/>
        <w:tabs>
          <w:tab w:val="clear" w:pos="708"/>
          <w:tab w:val="left" w:pos="720" w:leader="none"/>
        </w:tabs>
        <w:rPr>
          <w:sz w:val="20"/>
          <w:szCs w:val="20"/>
        </w:rPr>
      </w:pPr>
      <w:r>
        <w:rPr>
          <w:sz w:val="20"/>
          <w:szCs w:val="20"/>
        </w:rPr>
      </w:r>
    </w:p>
    <w:p>
      <w:pPr>
        <w:pStyle w:val="Normal"/>
        <w:numPr>
          <w:ilvl w:val="0"/>
          <w:numId w:val="5"/>
        </w:numPr>
        <w:rPr>
          <w:b/>
          <w:b/>
          <w:sz w:val="20"/>
          <w:szCs w:val="20"/>
        </w:rPr>
      </w:pPr>
      <w:r>
        <w:rPr>
          <w:b/>
          <w:sz w:val="20"/>
          <w:szCs w:val="20"/>
        </w:rPr>
        <w:t>Засоби вимірювальної техніки (ЗВТ) та допоміжне обладнання, що застосовувались при відборі проб:</w:t>
      </w:r>
    </w:p>
    <w:p>
      <w:pPr>
        <w:pStyle w:val="Normal"/>
        <w:ind w:left="0" w:right="0" w:firstLine="360"/>
        <w:rPr>
          <w:sz w:val="20"/>
          <w:szCs w:val="20"/>
        </w:rPr>
      </w:pPr>
      <w:r>
        <w:rPr>
          <w:sz w:val="20"/>
          <w:szCs w:val="20"/>
        </w:rPr>
        <w:t xml:space="preserve"> </w:t>
      </w:r>
      <w:r>
        <w:rPr>
          <w:sz w:val="20"/>
          <w:szCs w:val="20"/>
        </w:rPr>
        <w:t xml:space="preserve">- </w:t>
        <w:tab/>
        <w:t>пробовідбірник ручний, повірці не підлягає;</w:t>
      </w:r>
    </w:p>
    <w:p>
      <w:pPr>
        <w:pStyle w:val="Normal"/>
        <w:ind w:left="0" w:right="0" w:firstLine="360"/>
        <w:rPr>
          <w:sz w:val="20"/>
          <w:szCs w:val="20"/>
        </w:rPr>
      </w:pPr>
      <w:r>
        <w:rPr>
          <w:sz w:val="20"/>
          <w:szCs w:val="20"/>
        </w:rPr>
        <w:t xml:space="preserve"> </w:t>
      </w:r>
      <w:r>
        <w:rPr>
          <w:sz w:val="20"/>
          <w:szCs w:val="20"/>
        </w:rPr>
        <w:t>-    _____________________________________________</w:t>
      </w:r>
    </w:p>
    <w:p>
      <w:pPr>
        <w:pStyle w:val="Normal"/>
        <w:ind w:left="0" w:right="0" w:firstLine="360"/>
        <w:rPr>
          <w:sz w:val="20"/>
          <w:szCs w:val="20"/>
        </w:rPr>
      </w:pPr>
      <w:r>
        <w:rPr>
          <w:sz w:val="20"/>
          <w:szCs w:val="20"/>
        </w:rPr>
        <w:t xml:space="preserve"> </w:t>
      </w:r>
      <w:r>
        <w:rPr>
          <w:sz w:val="20"/>
          <w:szCs w:val="20"/>
        </w:rPr>
        <w:t>-    ________________________________________________</w:t>
      </w:r>
    </w:p>
    <w:p>
      <w:pPr>
        <w:pStyle w:val="Normal"/>
        <w:ind w:left="0" w:right="0" w:firstLine="360"/>
        <w:rPr/>
      </w:pPr>
      <w:r>
        <w:rPr/>
        <w:t xml:space="preserve">3. </w:t>
        <w:tab/>
        <w:t>Паспорт проби</w:t>
      </w:r>
    </w:p>
    <w:tbl>
      <w:tblPr>
        <w:tblW w:w="10560" w:type="dxa"/>
        <w:jc w:val="left"/>
        <w:tblInd w:w="-204" w:type="dxa"/>
        <w:tblBorders>
          <w:top w:val="single" w:sz="12" w:space="0" w:color="000000"/>
          <w:left w:val="single" w:sz="12" w:space="0" w:color="000000"/>
          <w:bottom w:val="single" w:sz="4" w:space="0" w:color="000000"/>
          <w:insideH w:val="single" w:sz="4" w:space="0" w:color="000000"/>
        </w:tblBorders>
        <w:tblCellMar>
          <w:top w:w="0" w:type="dxa"/>
          <w:left w:w="93" w:type="dxa"/>
          <w:bottom w:w="0" w:type="dxa"/>
          <w:right w:w="108" w:type="dxa"/>
        </w:tblCellMar>
      </w:tblPr>
      <w:tblGrid>
        <w:gridCol w:w="465"/>
        <w:gridCol w:w="795"/>
        <w:gridCol w:w="1935"/>
        <w:gridCol w:w="720"/>
        <w:gridCol w:w="690"/>
        <w:gridCol w:w="1260"/>
        <w:gridCol w:w="735"/>
        <w:gridCol w:w="735"/>
        <w:gridCol w:w="735"/>
        <w:gridCol w:w="705"/>
        <w:gridCol w:w="900"/>
        <w:gridCol w:w="885"/>
      </w:tblGrid>
      <w:tr>
        <w:trPr>
          <w:cantSplit w:val="true"/>
        </w:trPr>
        <w:tc>
          <w:tcPr>
            <w:tcW w:w="465" w:type="dxa"/>
            <w:vMerge w:val="restart"/>
            <w:tcBorders>
              <w:top w:val="single" w:sz="12" w:space="0" w:color="000000"/>
              <w:left w:val="single" w:sz="12" w:space="0" w:color="000000"/>
              <w:bottom w:val="single" w:sz="4" w:space="0" w:color="000000"/>
              <w:insideH w:val="single" w:sz="4" w:space="0" w:color="000000"/>
            </w:tcBorders>
            <w:shd w:fill="auto" w:val="clear"/>
            <w:vAlign w:val="center"/>
          </w:tcPr>
          <w:p>
            <w:pPr>
              <w:pStyle w:val="Normal"/>
              <w:jc w:val="center"/>
              <w:rPr>
                <w:sz w:val="20"/>
                <w:szCs w:val="20"/>
              </w:rPr>
            </w:pPr>
            <w:r>
              <w:rPr>
                <w:sz w:val="20"/>
                <w:szCs w:val="20"/>
              </w:rPr>
              <w:t xml:space="preserve">№ </w:t>
            </w:r>
            <w:r>
              <w:rPr>
                <w:sz w:val="20"/>
                <w:szCs w:val="20"/>
              </w:rPr>
              <w:t>п/п</w:t>
            </w:r>
          </w:p>
        </w:tc>
        <w:tc>
          <w:tcPr>
            <w:tcW w:w="795" w:type="dxa"/>
            <w:vMerge w:val="restart"/>
            <w:tcBorders>
              <w:top w:val="single" w:sz="12" w:space="0" w:color="000000"/>
              <w:left w:val="single" w:sz="12" w:space="0" w:color="000000"/>
              <w:bottom w:val="single" w:sz="4" w:space="0" w:color="000000"/>
              <w:insideH w:val="single" w:sz="4" w:space="0" w:color="000000"/>
            </w:tcBorders>
            <w:shd w:fill="auto" w:val="clear"/>
            <w:vAlign w:val="center"/>
          </w:tcPr>
          <w:p>
            <w:pPr>
              <w:pStyle w:val="Normal"/>
              <w:jc w:val="center"/>
              <w:rPr>
                <w:sz w:val="18"/>
                <w:szCs w:val="18"/>
              </w:rPr>
            </w:pPr>
            <w:r>
              <w:rPr>
                <w:sz w:val="18"/>
                <w:szCs w:val="18"/>
              </w:rPr>
              <w:t>Дата, час відбору</w:t>
            </w:r>
          </w:p>
        </w:tc>
        <w:tc>
          <w:tcPr>
            <w:tcW w:w="1935" w:type="dxa"/>
            <w:vMerge w:val="restart"/>
            <w:tcBorders>
              <w:top w:val="single" w:sz="12" w:space="0" w:color="000000"/>
              <w:left w:val="single" w:sz="12" w:space="0" w:color="000000"/>
              <w:bottom w:val="single" w:sz="4" w:space="0" w:color="000000"/>
              <w:insideH w:val="single" w:sz="4" w:space="0" w:color="000000"/>
            </w:tcBorders>
            <w:shd w:fill="auto" w:val="clear"/>
            <w:vAlign w:val="center"/>
          </w:tcPr>
          <w:p>
            <w:pPr>
              <w:pStyle w:val="Normal"/>
              <w:jc w:val="center"/>
              <w:rPr>
                <w:sz w:val="18"/>
                <w:szCs w:val="18"/>
              </w:rPr>
            </w:pPr>
            <w:r>
              <w:rPr>
                <w:sz w:val="18"/>
                <w:szCs w:val="18"/>
              </w:rPr>
              <w:t>Точка і місце відбору</w:t>
            </w:r>
          </w:p>
        </w:tc>
        <w:tc>
          <w:tcPr>
            <w:tcW w:w="720" w:type="dxa"/>
            <w:vMerge w:val="restart"/>
            <w:tcBorders>
              <w:top w:val="single" w:sz="12" w:space="0" w:color="000000"/>
              <w:left w:val="single" w:sz="12" w:space="0" w:color="000000"/>
              <w:bottom w:val="single" w:sz="4" w:space="0" w:color="000000"/>
              <w:insideH w:val="single" w:sz="4" w:space="0" w:color="000000"/>
            </w:tcBorders>
            <w:shd w:fill="auto" w:val="clear"/>
            <w:vAlign w:val="center"/>
          </w:tcPr>
          <w:p>
            <w:pPr>
              <w:pStyle w:val="Normal"/>
              <w:jc w:val="center"/>
              <w:rPr>
                <w:sz w:val="18"/>
                <w:szCs w:val="18"/>
              </w:rPr>
            </w:pPr>
            <w:r>
              <w:rPr>
                <w:sz w:val="18"/>
                <w:szCs w:val="18"/>
              </w:rPr>
              <w:t>Вид проби</w:t>
            </w:r>
          </w:p>
        </w:tc>
        <w:tc>
          <w:tcPr>
            <w:tcW w:w="690" w:type="dxa"/>
            <w:vMerge w:val="restart"/>
            <w:tcBorders>
              <w:top w:val="single" w:sz="12" w:space="0" w:color="000000"/>
              <w:left w:val="single" w:sz="12" w:space="0" w:color="000000"/>
              <w:bottom w:val="single" w:sz="4" w:space="0" w:color="000000"/>
              <w:insideH w:val="single" w:sz="4" w:space="0" w:color="000000"/>
            </w:tcBorders>
            <w:shd w:fill="auto" w:val="clear"/>
            <w:vAlign w:val="center"/>
          </w:tcPr>
          <w:p>
            <w:pPr>
              <w:pStyle w:val="Normal"/>
              <w:jc w:val="center"/>
              <w:rPr>
                <w:sz w:val="18"/>
                <w:szCs w:val="18"/>
              </w:rPr>
            </w:pPr>
            <w:r>
              <w:rPr>
                <w:sz w:val="18"/>
                <w:szCs w:val="18"/>
              </w:rPr>
              <w:t>Об’єм проби</w:t>
            </w:r>
          </w:p>
        </w:tc>
        <w:tc>
          <w:tcPr>
            <w:tcW w:w="1260" w:type="dxa"/>
            <w:vMerge w:val="restart"/>
            <w:tcBorders>
              <w:top w:val="single" w:sz="12" w:space="0" w:color="000000"/>
              <w:left w:val="single" w:sz="12" w:space="0" w:color="000000"/>
              <w:bottom w:val="single" w:sz="4" w:space="0" w:color="000000"/>
              <w:insideH w:val="single" w:sz="4" w:space="0" w:color="000000"/>
            </w:tcBorders>
            <w:shd w:fill="auto" w:val="clear"/>
            <w:vAlign w:val="center"/>
          </w:tcPr>
          <w:p>
            <w:pPr>
              <w:pStyle w:val="Normal"/>
              <w:jc w:val="center"/>
              <w:rPr>
                <w:sz w:val="18"/>
                <w:szCs w:val="18"/>
              </w:rPr>
            </w:pPr>
            <w:r>
              <w:rPr>
                <w:sz w:val="18"/>
                <w:szCs w:val="18"/>
              </w:rPr>
              <w:t>Показники, що підлягають вимірюванню</w:t>
            </w:r>
          </w:p>
        </w:tc>
        <w:tc>
          <w:tcPr>
            <w:tcW w:w="2910" w:type="dxa"/>
            <w:gridSpan w:val="4"/>
            <w:tcBorders>
              <w:top w:val="single" w:sz="12" w:space="0" w:color="000000"/>
              <w:left w:val="single" w:sz="12" w:space="0" w:color="000000"/>
              <w:bottom w:val="single" w:sz="12" w:space="0" w:color="000000"/>
              <w:insideH w:val="single" w:sz="12" w:space="0" w:color="000000"/>
            </w:tcBorders>
            <w:shd w:fill="auto" w:val="clear"/>
          </w:tcPr>
          <w:p>
            <w:pPr>
              <w:pStyle w:val="Normal"/>
              <w:jc w:val="center"/>
              <w:rPr>
                <w:sz w:val="20"/>
                <w:szCs w:val="20"/>
              </w:rPr>
            </w:pPr>
            <w:r>
              <w:rPr>
                <w:sz w:val="20"/>
                <w:szCs w:val="20"/>
              </w:rPr>
              <w:t>Посудина для</w:t>
            </w:r>
          </w:p>
        </w:tc>
        <w:tc>
          <w:tcPr>
            <w:tcW w:w="900" w:type="dxa"/>
            <w:vMerge w:val="restart"/>
            <w:tcBorders>
              <w:top w:val="single" w:sz="12" w:space="0" w:color="000000"/>
              <w:left w:val="single" w:sz="12" w:space="0" w:color="000000"/>
              <w:bottom w:val="single" w:sz="4" w:space="0" w:color="000000"/>
              <w:insideH w:val="single" w:sz="4" w:space="0" w:color="000000"/>
            </w:tcBorders>
            <w:shd w:fill="auto" w:val="clear"/>
            <w:vAlign w:val="center"/>
          </w:tcPr>
          <w:p>
            <w:pPr>
              <w:pStyle w:val="Normal"/>
              <w:jc w:val="center"/>
              <w:rPr/>
            </w:pPr>
            <w:r>
              <w:rPr>
                <w:rStyle w:val="Style14"/>
                <w:sz w:val="18"/>
                <w:szCs w:val="18"/>
              </w:rPr>
              <w:t xml:space="preserve">Показники, що визначались на місці (температура, </w:t>
            </w:r>
            <w:r>
              <w:rPr>
                <w:rStyle w:val="Style14"/>
                <w:sz w:val="18"/>
                <w:szCs w:val="18"/>
                <w:lang w:val="en-US"/>
              </w:rPr>
              <w:t>t</w:t>
            </w:r>
            <w:r>
              <w:rPr>
                <w:rStyle w:val="Style14"/>
                <w:sz w:val="18"/>
                <w:szCs w:val="18"/>
              </w:rPr>
              <w:t>ºС)</w:t>
            </w:r>
          </w:p>
        </w:tc>
        <w:tc>
          <w:tcPr>
            <w:tcW w:w="885" w:type="dxa"/>
            <w:vMerge w:val="restart"/>
            <w:tcBorders>
              <w:top w:val="single" w:sz="12"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vAlign w:val="center"/>
          </w:tcPr>
          <w:p>
            <w:pPr>
              <w:pStyle w:val="Normal"/>
              <w:jc w:val="center"/>
              <w:rPr>
                <w:sz w:val="18"/>
                <w:szCs w:val="18"/>
              </w:rPr>
            </w:pPr>
            <w:r>
              <w:rPr>
                <w:sz w:val="18"/>
                <w:szCs w:val="18"/>
              </w:rPr>
              <w:t>Відомості про попередню обробку проби</w:t>
            </w:r>
          </w:p>
        </w:tc>
      </w:tr>
      <w:tr>
        <w:trPr>
          <w:cantSplit w:val="true"/>
        </w:trPr>
        <w:tc>
          <w:tcPr>
            <w:tcW w:w="465" w:type="dxa"/>
            <w:vMerge w:val="continue"/>
            <w:tcBorders>
              <w:top w:val="single" w:sz="12" w:space="0" w:color="000000"/>
              <w:left w:val="single" w:sz="12" w:space="0" w:color="000000"/>
              <w:bottom w:val="single" w:sz="4" w:space="0" w:color="000000"/>
              <w:insideH w:val="single" w:sz="4" w:space="0" w:color="000000"/>
            </w:tcBorders>
            <w:shd w:fill="auto" w:val="clear"/>
            <w:vAlign w:val="center"/>
          </w:tcPr>
          <w:p>
            <w:pPr>
              <w:pStyle w:val="Normal"/>
              <w:rPr/>
            </w:pPr>
            <w:r>
              <w:rPr/>
            </w:r>
          </w:p>
        </w:tc>
        <w:tc>
          <w:tcPr>
            <w:tcW w:w="795" w:type="dxa"/>
            <w:vMerge w:val="continue"/>
            <w:tcBorders>
              <w:top w:val="single" w:sz="12" w:space="0" w:color="000000"/>
              <w:left w:val="single" w:sz="12" w:space="0" w:color="000000"/>
              <w:bottom w:val="single" w:sz="4" w:space="0" w:color="000000"/>
              <w:insideH w:val="single" w:sz="4" w:space="0" w:color="000000"/>
            </w:tcBorders>
            <w:shd w:fill="auto" w:val="clear"/>
            <w:vAlign w:val="center"/>
          </w:tcPr>
          <w:p>
            <w:pPr>
              <w:pStyle w:val="Normal"/>
              <w:rPr/>
            </w:pPr>
            <w:r>
              <w:rPr/>
            </w:r>
          </w:p>
        </w:tc>
        <w:tc>
          <w:tcPr>
            <w:tcW w:w="1935" w:type="dxa"/>
            <w:vMerge w:val="continue"/>
            <w:tcBorders>
              <w:top w:val="single" w:sz="12" w:space="0" w:color="000000"/>
              <w:left w:val="single" w:sz="12" w:space="0" w:color="000000"/>
              <w:bottom w:val="single" w:sz="4" w:space="0" w:color="000000"/>
              <w:insideH w:val="single" w:sz="4" w:space="0" w:color="000000"/>
            </w:tcBorders>
            <w:shd w:fill="auto" w:val="clear"/>
            <w:vAlign w:val="center"/>
          </w:tcPr>
          <w:p>
            <w:pPr>
              <w:pStyle w:val="Normal"/>
              <w:rPr/>
            </w:pPr>
            <w:r>
              <w:rPr/>
            </w:r>
          </w:p>
        </w:tc>
        <w:tc>
          <w:tcPr>
            <w:tcW w:w="720" w:type="dxa"/>
            <w:vMerge w:val="continue"/>
            <w:tcBorders>
              <w:top w:val="single" w:sz="12" w:space="0" w:color="000000"/>
              <w:left w:val="single" w:sz="12" w:space="0" w:color="000000"/>
              <w:bottom w:val="single" w:sz="4" w:space="0" w:color="000000"/>
              <w:insideH w:val="single" w:sz="4" w:space="0" w:color="000000"/>
            </w:tcBorders>
            <w:shd w:fill="auto" w:val="clear"/>
            <w:vAlign w:val="center"/>
          </w:tcPr>
          <w:p>
            <w:pPr>
              <w:pStyle w:val="Normal"/>
              <w:rPr/>
            </w:pPr>
            <w:r>
              <w:rPr/>
            </w:r>
          </w:p>
        </w:tc>
        <w:tc>
          <w:tcPr>
            <w:tcW w:w="690" w:type="dxa"/>
            <w:vMerge w:val="continue"/>
            <w:tcBorders>
              <w:top w:val="single" w:sz="12" w:space="0" w:color="000000"/>
              <w:left w:val="single" w:sz="12" w:space="0" w:color="000000"/>
              <w:bottom w:val="single" w:sz="4" w:space="0" w:color="000000"/>
              <w:insideH w:val="single" w:sz="4" w:space="0" w:color="000000"/>
            </w:tcBorders>
            <w:shd w:fill="auto" w:val="clear"/>
            <w:vAlign w:val="center"/>
          </w:tcPr>
          <w:p>
            <w:pPr>
              <w:pStyle w:val="Normal"/>
              <w:rPr/>
            </w:pPr>
            <w:r>
              <w:rPr/>
            </w:r>
          </w:p>
        </w:tc>
        <w:tc>
          <w:tcPr>
            <w:tcW w:w="1260" w:type="dxa"/>
            <w:vMerge w:val="continue"/>
            <w:tcBorders>
              <w:top w:val="single" w:sz="12" w:space="0" w:color="000000"/>
              <w:left w:val="single" w:sz="12" w:space="0" w:color="000000"/>
              <w:bottom w:val="single" w:sz="4" w:space="0" w:color="000000"/>
              <w:insideH w:val="single" w:sz="4" w:space="0" w:color="000000"/>
            </w:tcBorders>
            <w:shd w:fill="auto" w:val="clear"/>
            <w:vAlign w:val="center"/>
          </w:tcPr>
          <w:p>
            <w:pPr>
              <w:pStyle w:val="Normal"/>
              <w:rPr/>
            </w:pPr>
            <w:r>
              <w:rPr/>
            </w:r>
          </w:p>
        </w:tc>
        <w:tc>
          <w:tcPr>
            <w:tcW w:w="1470" w:type="dxa"/>
            <w:gridSpan w:val="2"/>
            <w:tcBorders>
              <w:top w:val="single" w:sz="12" w:space="0" w:color="000000"/>
              <w:left w:val="single" w:sz="12" w:space="0" w:color="000000"/>
              <w:bottom w:val="single" w:sz="12" w:space="0" w:color="000000"/>
              <w:insideH w:val="single" w:sz="12" w:space="0" w:color="000000"/>
            </w:tcBorders>
            <w:shd w:fill="auto" w:val="clear"/>
          </w:tcPr>
          <w:p>
            <w:pPr>
              <w:pStyle w:val="Normal"/>
              <w:jc w:val="center"/>
              <w:rPr>
                <w:sz w:val="18"/>
                <w:szCs w:val="18"/>
              </w:rPr>
            </w:pPr>
            <w:r>
              <w:rPr>
                <w:sz w:val="18"/>
                <w:szCs w:val="18"/>
              </w:rPr>
              <w:t>проби</w:t>
            </w:r>
          </w:p>
        </w:tc>
        <w:tc>
          <w:tcPr>
            <w:tcW w:w="1440" w:type="dxa"/>
            <w:gridSpan w:val="2"/>
            <w:tcBorders>
              <w:top w:val="single" w:sz="12" w:space="0" w:color="000000"/>
              <w:left w:val="single" w:sz="12" w:space="0" w:color="000000"/>
              <w:bottom w:val="single" w:sz="12" w:space="0" w:color="000000"/>
              <w:insideH w:val="single" w:sz="12" w:space="0" w:color="000000"/>
            </w:tcBorders>
            <w:shd w:fill="auto" w:val="clear"/>
          </w:tcPr>
          <w:p>
            <w:pPr>
              <w:pStyle w:val="Normal"/>
              <w:jc w:val="center"/>
              <w:rPr>
                <w:sz w:val="18"/>
                <w:szCs w:val="18"/>
              </w:rPr>
            </w:pPr>
            <w:r>
              <w:rPr>
                <w:sz w:val="18"/>
                <w:szCs w:val="18"/>
              </w:rPr>
              <w:t>Арбітражного  зразка</w:t>
            </w:r>
          </w:p>
        </w:tc>
        <w:tc>
          <w:tcPr>
            <w:tcW w:w="900" w:type="dxa"/>
            <w:vMerge w:val="continue"/>
            <w:tcBorders>
              <w:top w:val="single" w:sz="12" w:space="0" w:color="000000"/>
              <w:left w:val="single" w:sz="12" w:space="0" w:color="000000"/>
              <w:bottom w:val="single" w:sz="4" w:space="0" w:color="000000"/>
              <w:insideH w:val="single" w:sz="4" w:space="0" w:color="000000"/>
            </w:tcBorders>
            <w:shd w:fill="auto" w:val="clear"/>
            <w:vAlign w:val="center"/>
          </w:tcPr>
          <w:p>
            <w:pPr>
              <w:pStyle w:val="Normal"/>
              <w:rPr/>
            </w:pPr>
            <w:r>
              <w:rPr/>
            </w:r>
          </w:p>
        </w:tc>
        <w:tc>
          <w:tcPr>
            <w:tcW w:w="885" w:type="dxa"/>
            <w:vMerge w:val="continue"/>
            <w:tcBorders>
              <w:top w:val="single" w:sz="12"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vAlign w:val="center"/>
          </w:tcPr>
          <w:p>
            <w:pPr>
              <w:pStyle w:val="Normal"/>
              <w:rPr/>
            </w:pPr>
            <w:r>
              <w:rPr/>
            </w:r>
          </w:p>
        </w:tc>
      </w:tr>
      <w:tr>
        <w:trPr>
          <w:trHeight w:val="994" w:hRule="atLeast"/>
          <w:cantSplit w:val="true"/>
        </w:trPr>
        <w:tc>
          <w:tcPr>
            <w:tcW w:w="465" w:type="dxa"/>
            <w:vMerge w:val="continue"/>
            <w:tcBorders>
              <w:top w:val="single" w:sz="12" w:space="0" w:color="000000"/>
              <w:left w:val="single" w:sz="12" w:space="0" w:color="000000"/>
              <w:bottom w:val="single" w:sz="4" w:space="0" w:color="000000"/>
              <w:insideH w:val="single" w:sz="4" w:space="0" w:color="000000"/>
            </w:tcBorders>
            <w:shd w:fill="auto" w:val="clear"/>
            <w:vAlign w:val="center"/>
          </w:tcPr>
          <w:p>
            <w:pPr>
              <w:pStyle w:val="Normal"/>
              <w:rPr/>
            </w:pPr>
            <w:r>
              <w:rPr/>
            </w:r>
          </w:p>
        </w:tc>
        <w:tc>
          <w:tcPr>
            <w:tcW w:w="795" w:type="dxa"/>
            <w:vMerge w:val="continue"/>
            <w:tcBorders>
              <w:top w:val="single" w:sz="12" w:space="0" w:color="000000"/>
              <w:left w:val="single" w:sz="12" w:space="0" w:color="000000"/>
              <w:bottom w:val="single" w:sz="4" w:space="0" w:color="000000"/>
              <w:insideH w:val="single" w:sz="4" w:space="0" w:color="000000"/>
            </w:tcBorders>
            <w:shd w:fill="auto" w:val="clear"/>
            <w:vAlign w:val="center"/>
          </w:tcPr>
          <w:p>
            <w:pPr>
              <w:pStyle w:val="Normal"/>
              <w:rPr/>
            </w:pPr>
            <w:r>
              <w:rPr/>
            </w:r>
          </w:p>
        </w:tc>
        <w:tc>
          <w:tcPr>
            <w:tcW w:w="1935" w:type="dxa"/>
            <w:vMerge w:val="continue"/>
            <w:tcBorders>
              <w:top w:val="single" w:sz="12" w:space="0" w:color="000000"/>
              <w:left w:val="single" w:sz="12" w:space="0" w:color="000000"/>
              <w:bottom w:val="single" w:sz="4" w:space="0" w:color="000000"/>
              <w:insideH w:val="single" w:sz="4" w:space="0" w:color="000000"/>
            </w:tcBorders>
            <w:shd w:fill="auto" w:val="clear"/>
            <w:vAlign w:val="center"/>
          </w:tcPr>
          <w:p>
            <w:pPr>
              <w:pStyle w:val="Normal"/>
              <w:rPr/>
            </w:pPr>
            <w:r>
              <w:rPr/>
            </w:r>
          </w:p>
        </w:tc>
        <w:tc>
          <w:tcPr>
            <w:tcW w:w="720" w:type="dxa"/>
            <w:vMerge w:val="continue"/>
            <w:tcBorders>
              <w:top w:val="single" w:sz="12" w:space="0" w:color="000000"/>
              <w:left w:val="single" w:sz="12" w:space="0" w:color="000000"/>
              <w:bottom w:val="single" w:sz="4" w:space="0" w:color="000000"/>
              <w:insideH w:val="single" w:sz="4" w:space="0" w:color="000000"/>
            </w:tcBorders>
            <w:shd w:fill="auto" w:val="clear"/>
            <w:vAlign w:val="center"/>
          </w:tcPr>
          <w:p>
            <w:pPr>
              <w:pStyle w:val="Normal"/>
              <w:rPr/>
            </w:pPr>
            <w:r>
              <w:rPr/>
            </w:r>
          </w:p>
        </w:tc>
        <w:tc>
          <w:tcPr>
            <w:tcW w:w="690" w:type="dxa"/>
            <w:vMerge w:val="continue"/>
            <w:tcBorders>
              <w:top w:val="single" w:sz="12" w:space="0" w:color="000000"/>
              <w:left w:val="single" w:sz="12" w:space="0" w:color="000000"/>
              <w:bottom w:val="single" w:sz="4" w:space="0" w:color="000000"/>
              <w:insideH w:val="single" w:sz="4" w:space="0" w:color="000000"/>
            </w:tcBorders>
            <w:shd w:fill="auto" w:val="clear"/>
            <w:vAlign w:val="center"/>
          </w:tcPr>
          <w:p>
            <w:pPr>
              <w:pStyle w:val="Normal"/>
              <w:rPr/>
            </w:pPr>
            <w:r>
              <w:rPr/>
            </w:r>
          </w:p>
        </w:tc>
        <w:tc>
          <w:tcPr>
            <w:tcW w:w="1260" w:type="dxa"/>
            <w:vMerge w:val="continue"/>
            <w:tcBorders>
              <w:top w:val="single" w:sz="12" w:space="0" w:color="000000"/>
              <w:left w:val="single" w:sz="12" w:space="0" w:color="000000"/>
              <w:bottom w:val="single" w:sz="4" w:space="0" w:color="000000"/>
              <w:insideH w:val="single" w:sz="4" w:space="0" w:color="000000"/>
            </w:tcBorders>
            <w:shd w:fill="auto" w:val="clear"/>
            <w:vAlign w:val="center"/>
          </w:tcPr>
          <w:p>
            <w:pPr>
              <w:pStyle w:val="Normal"/>
              <w:rPr/>
            </w:pPr>
            <w:r>
              <w:rPr/>
            </w:r>
          </w:p>
        </w:tc>
        <w:tc>
          <w:tcPr>
            <w:tcW w:w="735" w:type="dxa"/>
            <w:tcBorders>
              <w:top w:val="single" w:sz="12" w:space="0" w:color="000000"/>
              <w:left w:val="single" w:sz="12" w:space="0" w:color="000000"/>
              <w:bottom w:val="single" w:sz="12" w:space="0" w:color="000000"/>
              <w:insideH w:val="single" w:sz="12" w:space="0" w:color="000000"/>
            </w:tcBorders>
            <w:shd w:fill="auto" w:val="clear"/>
          </w:tcPr>
          <w:p>
            <w:pPr>
              <w:pStyle w:val="Normal"/>
              <w:jc w:val="center"/>
              <w:rPr>
                <w:sz w:val="14"/>
                <w:szCs w:val="14"/>
              </w:rPr>
            </w:pPr>
            <w:r>
              <w:rPr>
                <w:sz w:val="14"/>
                <w:szCs w:val="14"/>
              </w:rPr>
              <w:t>номер, тип</w:t>
            </w:r>
          </w:p>
        </w:tc>
        <w:tc>
          <w:tcPr>
            <w:tcW w:w="735" w:type="dxa"/>
            <w:tcBorders>
              <w:top w:val="single" w:sz="12" w:space="0" w:color="000000"/>
              <w:left w:val="single" w:sz="12" w:space="0" w:color="000000"/>
              <w:bottom w:val="single" w:sz="12" w:space="0" w:color="000000"/>
              <w:insideH w:val="single" w:sz="12" w:space="0" w:color="000000"/>
            </w:tcBorders>
            <w:shd w:fill="auto" w:val="clear"/>
          </w:tcPr>
          <w:p>
            <w:pPr>
              <w:pStyle w:val="Normal"/>
              <w:jc w:val="center"/>
              <w:rPr/>
            </w:pPr>
            <w:r>
              <w:rPr>
                <w:rStyle w:val="Style14"/>
                <w:sz w:val="14"/>
                <w:szCs w:val="14"/>
              </w:rPr>
              <w:t>об’єм, дм</w:t>
            </w:r>
            <w:r>
              <w:rPr>
                <w:rStyle w:val="Style14"/>
                <w:position w:val="14"/>
                <w:sz w:val="9"/>
                <w:sz w:val="14"/>
                <w:szCs w:val="14"/>
              </w:rPr>
              <w:t>3</w:t>
            </w:r>
          </w:p>
        </w:tc>
        <w:tc>
          <w:tcPr>
            <w:tcW w:w="735" w:type="dxa"/>
            <w:tcBorders>
              <w:top w:val="single" w:sz="12" w:space="0" w:color="000000"/>
              <w:left w:val="single" w:sz="12" w:space="0" w:color="000000"/>
              <w:bottom w:val="single" w:sz="12" w:space="0" w:color="000000"/>
              <w:insideH w:val="single" w:sz="12" w:space="0" w:color="000000"/>
            </w:tcBorders>
            <w:shd w:fill="auto" w:val="clear"/>
          </w:tcPr>
          <w:p>
            <w:pPr>
              <w:pStyle w:val="Normal"/>
              <w:jc w:val="center"/>
              <w:rPr>
                <w:sz w:val="14"/>
                <w:szCs w:val="14"/>
              </w:rPr>
            </w:pPr>
            <w:r>
              <w:rPr>
                <w:sz w:val="14"/>
                <w:szCs w:val="14"/>
              </w:rPr>
              <w:t>номер, тип</w:t>
            </w:r>
          </w:p>
        </w:tc>
        <w:tc>
          <w:tcPr>
            <w:tcW w:w="705" w:type="dxa"/>
            <w:tcBorders>
              <w:top w:val="single" w:sz="12" w:space="0" w:color="000000"/>
              <w:left w:val="single" w:sz="12" w:space="0" w:color="000000"/>
              <w:bottom w:val="single" w:sz="12" w:space="0" w:color="000000"/>
              <w:insideH w:val="single" w:sz="12" w:space="0" w:color="000000"/>
            </w:tcBorders>
            <w:shd w:fill="auto" w:val="clear"/>
          </w:tcPr>
          <w:p>
            <w:pPr>
              <w:pStyle w:val="Normal"/>
              <w:jc w:val="center"/>
              <w:rPr/>
            </w:pPr>
            <w:r>
              <w:rPr>
                <w:rStyle w:val="Style14"/>
                <w:sz w:val="14"/>
                <w:szCs w:val="14"/>
              </w:rPr>
              <w:t>об’єм, дм</w:t>
            </w:r>
            <w:r>
              <w:rPr>
                <w:rStyle w:val="Style14"/>
                <w:position w:val="14"/>
                <w:sz w:val="9"/>
                <w:sz w:val="14"/>
                <w:szCs w:val="14"/>
              </w:rPr>
              <w:t>3</w:t>
            </w:r>
          </w:p>
        </w:tc>
        <w:tc>
          <w:tcPr>
            <w:tcW w:w="900" w:type="dxa"/>
            <w:vMerge w:val="continue"/>
            <w:tcBorders>
              <w:top w:val="single" w:sz="12" w:space="0" w:color="000000"/>
              <w:left w:val="single" w:sz="12" w:space="0" w:color="000000"/>
              <w:bottom w:val="single" w:sz="4" w:space="0" w:color="000000"/>
              <w:insideH w:val="single" w:sz="4" w:space="0" w:color="000000"/>
            </w:tcBorders>
            <w:shd w:fill="auto" w:val="clear"/>
            <w:vAlign w:val="center"/>
          </w:tcPr>
          <w:p>
            <w:pPr>
              <w:pStyle w:val="Normal"/>
              <w:rPr/>
            </w:pPr>
            <w:r>
              <w:rPr/>
            </w:r>
          </w:p>
        </w:tc>
        <w:tc>
          <w:tcPr>
            <w:tcW w:w="885" w:type="dxa"/>
            <w:vMerge w:val="continue"/>
            <w:tcBorders>
              <w:top w:val="single" w:sz="12"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vAlign w:val="center"/>
          </w:tcPr>
          <w:p>
            <w:pPr>
              <w:pStyle w:val="Normal"/>
              <w:rPr/>
            </w:pPr>
            <w:r>
              <w:rPr/>
            </w:r>
          </w:p>
        </w:tc>
      </w:tr>
      <w:tr>
        <w:trPr/>
        <w:tc>
          <w:tcPr>
            <w:tcW w:w="465" w:type="dxa"/>
            <w:tcBorders>
              <w:top w:val="single" w:sz="12" w:space="0" w:color="000000"/>
              <w:left w:val="single" w:sz="12" w:space="0" w:color="000000"/>
              <w:bottom w:val="single" w:sz="12" w:space="0" w:color="000000"/>
              <w:insideH w:val="single" w:sz="12" w:space="0" w:color="000000"/>
            </w:tcBorders>
            <w:shd w:fill="auto" w:val="clear"/>
          </w:tcPr>
          <w:p>
            <w:pPr>
              <w:pStyle w:val="Normal"/>
              <w:jc w:val="center"/>
              <w:rPr>
                <w:sz w:val="16"/>
              </w:rPr>
            </w:pPr>
            <w:r>
              <w:rPr>
                <w:sz w:val="16"/>
              </w:rPr>
              <w:t>1</w:t>
            </w:r>
          </w:p>
        </w:tc>
        <w:tc>
          <w:tcPr>
            <w:tcW w:w="795" w:type="dxa"/>
            <w:tcBorders>
              <w:top w:val="single" w:sz="12" w:space="0" w:color="000000"/>
              <w:left w:val="single" w:sz="12" w:space="0" w:color="000000"/>
              <w:bottom w:val="single" w:sz="12" w:space="0" w:color="000000"/>
              <w:insideH w:val="single" w:sz="12" w:space="0" w:color="000000"/>
            </w:tcBorders>
            <w:shd w:fill="auto" w:val="clear"/>
          </w:tcPr>
          <w:p>
            <w:pPr>
              <w:pStyle w:val="Normal"/>
              <w:jc w:val="center"/>
              <w:rPr>
                <w:sz w:val="16"/>
              </w:rPr>
            </w:pPr>
            <w:r>
              <w:rPr>
                <w:sz w:val="16"/>
              </w:rPr>
              <w:t>2</w:t>
            </w:r>
          </w:p>
        </w:tc>
        <w:tc>
          <w:tcPr>
            <w:tcW w:w="1935" w:type="dxa"/>
            <w:tcBorders>
              <w:top w:val="single" w:sz="12" w:space="0" w:color="000000"/>
              <w:left w:val="single" w:sz="12" w:space="0" w:color="000000"/>
              <w:bottom w:val="single" w:sz="12" w:space="0" w:color="000000"/>
              <w:insideH w:val="single" w:sz="12" w:space="0" w:color="000000"/>
            </w:tcBorders>
            <w:shd w:fill="auto" w:val="clear"/>
          </w:tcPr>
          <w:p>
            <w:pPr>
              <w:pStyle w:val="Normal"/>
              <w:jc w:val="center"/>
              <w:rPr>
                <w:sz w:val="16"/>
              </w:rPr>
            </w:pPr>
            <w:r>
              <w:rPr>
                <w:sz w:val="16"/>
              </w:rPr>
              <w:t>3</w:t>
            </w:r>
          </w:p>
        </w:tc>
        <w:tc>
          <w:tcPr>
            <w:tcW w:w="720" w:type="dxa"/>
            <w:tcBorders>
              <w:top w:val="single" w:sz="12" w:space="0" w:color="000000"/>
              <w:left w:val="single" w:sz="12" w:space="0" w:color="000000"/>
              <w:bottom w:val="single" w:sz="12" w:space="0" w:color="000000"/>
              <w:insideH w:val="single" w:sz="12" w:space="0" w:color="000000"/>
            </w:tcBorders>
            <w:shd w:fill="auto" w:val="clear"/>
          </w:tcPr>
          <w:p>
            <w:pPr>
              <w:pStyle w:val="Normal"/>
              <w:jc w:val="center"/>
              <w:rPr>
                <w:sz w:val="16"/>
              </w:rPr>
            </w:pPr>
            <w:r>
              <w:rPr>
                <w:sz w:val="16"/>
              </w:rPr>
              <w:t>4</w:t>
            </w:r>
          </w:p>
        </w:tc>
        <w:tc>
          <w:tcPr>
            <w:tcW w:w="690" w:type="dxa"/>
            <w:tcBorders>
              <w:top w:val="single" w:sz="12" w:space="0" w:color="000000"/>
              <w:left w:val="single" w:sz="12" w:space="0" w:color="000000"/>
              <w:bottom w:val="single" w:sz="12" w:space="0" w:color="000000"/>
              <w:insideH w:val="single" w:sz="12" w:space="0" w:color="000000"/>
            </w:tcBorders>
            <w:shd w:fill="auto" w:val="clear"/>
          </w:tcPr>
          <w:p>
            <w:pPr>
              <w:pStyle w:val="Normal"/>
              <w:jc w:val="center"/>
              <w:rPr>
                <w:sz w:val="16"/>
              </w:rPr>
            </w:pPr>
            <w:r>
              <w:rPr>
                <w:sz w:val="16"/>
              </w:rPr>
              <w:t>5</w:t>
            </w:r>
          </w:p>
        </w:tc>
        <w:tc>
          <w:tcPr>
            <w:tcW w:w="1260" w:type="dxa"/>
            <w:tcBorders>
              <w:top w:val="single" w:sz="12" w:space="0" w:color="000000"/>
              <w:left w:val="single" w:sz="12" w:space="0" w:color="000000"/>
              <w:bottom w:val="single" w:sz="12" w:space="0" w:color="000000"/>
              <w:insideH w:val="single" w:sz="12" w:space="0" w:color="000000"/>
            </w:tcBorders>
            <w:shd w:fill="auto" w:val="clear"/>
          </w:tcPr>
          <w:p>
            <w:pPr>
              <w:pStyle w:val="Normal"/>
              <w:jc w:val="center"/>
              <w:rPr>
                <w:sz w:val="16"/>
              </w:rPr>
            </w:pPr>
            <w:r>
              <w:rPr>
                <w:sz w:val="16"/>
              </w:rPr>
              <w:t>6</w:t>
            </w:r>
          </w:p>
        </w:tc>
        <w:tc>
          <w:tcPr>
            <w:tcW w:w="735" w:type="dxa"/>
            <w:tcBorders>
              <w:top w:val="single" w:sz="12" w:space="0" w:color="000000"/>
              <w:left w:val="single" w:sz="12" w:space="0" w:color="000000"/>
              <w:bottom w:val="single" w:sz="12" w:space="0" w:color="000000"/>
              <w:insideH w:val="single" w:sz="12" w:space="0" w:color="000000"/>
            </w:tcBorders>
            <w:shd w:fill="auto" w:val="clear"/>
          </w:tcPr>
          <w:p>
            <w:pPr>
              <w:pStyle w:val="Normal"/>
              <w:jc w:val="center"/>
              <w:rPr>
                <w:sz w:val="16"/>
              </w:rPr>
            </w:pPr>
            <w:r>
              <w:rPr>
                <w:sz w:val="16"/>
              </w:rPr>
              <w:t>7</w:t>
            </w:r>
          </w:p>
        </w:tc>
        <w:tc>
          <w:tcPr>
            <w:tcW w:w="735" w:type="dxa"/>
            <w:tcBorders>
              <w:top w:val="single" w:sz="12" w:space="0" w:color="000000"/>
              <w:left w:val="single" w:sz="12" w:space="0" w:color="000000"/>
              <w:bottom w:val="single" w:sz="12" w:space="0" w:color="000000"/>
              <w:insideH w:val="single" w:sz="12" w:space="0" w:color="000000"/>
            </w:tcBorders>
            <w:shd w:fill="auto" w:val="clear"/>
          </w:tcPr>
          <w:p>
            <w:pPr>
              <w:pStyle w:val="Normal"/>
              <w:jc w:val="center"/>
              <w:rPr>
                <w:sz w:val="16"/>
              </w:rPr>
            </w:pPr>
            <w:r>
              <w:rPr>
                <w:sz w:val="16"/>
              </w:rPr>
              <w:t>8</w:t>
            </w:r>
          </w:p>
        </w:tc>
        <w:tc>
          <w:tcPr>
            <w:tcW w:w="735" w:type="dxa"/>
            <w:tcBorders>
              <w:top w:val="single" w:sz="12" w:space="0" w:color="000000"/>
              <w:left w:val="single" w:sz="12" w:space="0" w:color="000000"/>
              <w:bottom w:val="single" w:sz="12" w:space="0" w:color="000000"/>
              <w:insideH w:val="single" w:sz="12" w:space="0" w:color="000000"/>
            </w:tcBorders>
            <w:shd w:fill="auto" w:val="clear"/>
          </w:tcPr>
          <w:p>
            <w:pPr>
              <w:pStyle w:val="Normal"/>
              <w:jc w:val="center"/>
              <w:rPr>
                <w:sz w:val="16"/>
              </w:rPr>
            </w:pPr>
            <w:r>
              <w:rPr>
                <w:sz w:val="16"/>
              </w:rPr>
              <w:t>9</w:t>
            </w:r>
          </w:p>
        </w:tc>
        <w:tc>
          <w:tcPr>
            <w:tcW w:w="705" w:type="dxa"/>
            <w:tcBorders>
              <w:top w:val="single" w:sz="12" w:space="0" w:color="000000"/>
              <w:left w:val="single" w:sz="12" w:space="0" w:color="000000"/>
              <w:bottom w:val="single" w:sz="12" w:space="0" w:color="000000"/>
              <w:insideH w:val="single" w:sz="12" w:space="0" w:color="000000"/>
            </w:tcBorders>
            <w:shd w:fill="auto" w:val="clear"/>
          </w:tcPr>
          <w:p>
            <w:pPr>
              <w:pStyle w:val="Normal"/>
              <w:jc w:val="center"/>
              <w:rPr>
                <w:sz w:val="16"/>
              </w:rPr>
            </w:pPr>
            <w:r>
              <w:rPr>
                <w:sz w:val="16"/>
              </w:rPr>
              <w:t>10</w:t>
            </w:r>
          </w:p>
        </w:tc>
        <w:tc>
          <w:tcPr>
            <w:tcW w:w="900" w:type="dxa"/>
            <w:tcBorders>
              <w:top w:val="single" w:sz="12" w:space="0" w:color="000000"/>
              <w:left w:val="single" w:sz="12" w:space="0" w:color="000000"/>
              <w:bottom w:val="single" w:sz="12" w:space="0" w:color="000000"/>
              <w:insideH w:val="single" w:sz="12" w:space="0" w:color="000000"/>
            </w:tcBorders>
            <w:shd w:fill="auto" w:val="clear"/>
          </w:tcPr>
          <w:p>
            <w:pPr>
              <w:pStyle w:val="Normal"/>
              <w:jc w:val="center"/>
              <w:rPr>
                <w:sz w:val="16"/>
              </w:rPr>
            </w:pPr>
            <w:r>
              <w:rPr>
                <w:sz w:val="16"/>
              </w:rPr>
              <w:t>11</w:t>
            </w:r>
          </w:p>
        </w:tc>
        <w:tc>
          <w:tcPr>
            <w:tcW w:w="885"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jc w:val="center"/>
              <w:rPr>
                <w:sz w:val="16"/>
              </w:rPr>
            </w:pPr>
            <w:r>
              <w:rPr>
                <w:sz w:val="16"/>
              </w:rPr>
              <w:t>12</w:t>
            </w:r>
          </w:p>
        </w:tc>
      </w:tr>
      <w:tr>
        <w:trPr>
          <w:trHeight w:val="360" w:hRule="atLeast"/>
        </w:trPr>
        <w:tc>
          <w:tcPr>
            <w:tcW w:w="465" w:type="dxa"/>
            <w:tcBorders>
              <w:top w:val="single" w:sz="12" w:space="0" w:color="000000"/>
              <w:left w:val="single" w:sz="4" w:space="0" w:color="000000"/>
              <w:bottom w:val="single" w:sz="4" w:space="0" w:color="000000"/>
              <w:insideH w:val="single" w:sz="4" w:space="0" w:color="000000"/>
            </w:tcBorders>
            <w:shd w:fill="auto" w:val="clear"/>
          </w:tcPr>
          <w:p>
            <w:pPr>
              <w:pStyle w:val="Normal"/>
              <w:snapToGrid w:val="false"/>
              <w:rPr>
                <w:sz w:val="16"/>
              </w:rPr>
            </w:pPr>
            <w:r>
              <w:rPr>
                <w:sz w:val="16"/>
              </w:rPr>
            </w:r>
          </w:p>
        </w:tc>
        <w:tc>
          <w:tcPr>
            <w:tcW w:w="795" w:type="dxa"/>
            <w:tcBorders>
              <w:top w:val="single" w:sz="12"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1935" w:type="dxa"/>
            <w:tcBorders>
              <w:top w:val="single" w:sz="12"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720" w:type="dxa"/>
            <w:tcBorders>
              <w:top w:val="single" w:sz="12"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690" w:type="dxa"/>
            <w:tcBorders>
              <w:top w:val="single" w:sz="12"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1260" w:type="dxa"/>
            <w:tcBorders>
              <w:top w:val="single" w:sz="12"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735" w:type="dxa"/>
            <w:tcBorders>
              <w:top w:val="single" w:sz="12"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735" w:type="dxa"/>
            <w:tcBorders>
              <w:top w:val="single" w:sz="12"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735" w:type="dxa"/>
            <w:tcBorders>
              <w:top w:val="single" w:sz="12"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705" w:type="dxa"/>
            <w:tcBorders>
              <w:top w:val="single" w:sz="12"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900" w:type="dxa"/>
            <w:tcBorders>
              <w:top w:val="single" w:sz="12"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885" w:type="dxa"/>
            <w:tcBorders>
              <w:top w:val="single" w:sz="12"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r>
          </w:p>
        </w:tc>
      </w:tr>
      <w:tr>
        <w:trPr>
          <w:trHeight w:val="452" w:hRule="atLeast"/>
        </w:trPr>
        <w:tc>
          <w:tcPr>
            <w:tcW w:w="46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79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193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72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69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126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73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73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73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70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90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8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r>
          </w:p>
        </w:tc>
      </w:tr>
      <w:tr>
        <w:trPr>
          <w:trHeight w:val="411" w:hRule="atLeast"/>
        </w:trPr>
        <w:tc>
          <w:tcPr>
            <w:tcW w:w="46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79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193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72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69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126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73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73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73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70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90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8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r>
          </w:p>
        </w:tc>
      </w:tr>
    </w:tbl>
    <w:p>
      <w:pPr>
        <w:pStyle w:val="Normal"/>
        <w:tabs>
          <w:tab w:val="clear" w:pos="708"/>
        </w:tabs>
        <w:ind w:left="45" w:right="0" w:hanging="0"/>
        <w:rPr>
          <w:sz w:val="20"/>
          <w:szCs w:val="20"/>
        </w:rPr>
      </w:pPr>
      <w:r>
        <w:rPr>
          <w:sz w:val="20"/>
          <w:szCs w:val="20"/>
        </w:rPr>
      </w:r>
    </w:p>
    <w:p>
      <w:pPr>
        <w:pStyle w:val="Normal"/>
        <w:tabs>
          <w:tab w:val="clear" w:pos="708"/>
        </w:tabs>
        <w:ind w:left="360" w:right="0" w:hanging="0"/>
        <w:rPr>
          <w:sz w:val="20"/>
          <w:szCs w:val="20"/>
        </w:rPr>
      </w:pPr>
      <w:r>
        <w:rPr>
          <w:sz w:val="20"/>
          <w:szCs w:val="20"/>
        </w:rPr>
        <w:t>4.  Особливі умови відбору  проб _______________________________________________________________</w:t>
      </w:r>
    </w:p>
    <w:p>
      <w:pPr>
        <w:pStyle w:val="Normal"/>
        <w:rPr>
          <w:sz w:val="20"/>
          <w:szCs w:val="20"/>
        </w:rPr>
      </w:pPr>
      <w:r>
        <w:rPr>
          <w:sz w:val="20"/>
          <w:szCs w:val="20"/>
        </w:rPr>
        <w:t xml:space="preserve">       </w:t>
      </w:r>
    </w:p>
    <w:p>
      <w:pPr>
        <w:pStyle w:val="Normal"/>
        <w:rPr/>
      </w:pPr>
      <w:r>
        <w:rPr>
          <w:rStyle w:val="Style14"/>
          <w:sz w:val="20"/>
          <w:szCs w:val="20"/>
        </w:rPr>
        <w:t xml:space="preserve">       </w:t>
      </w:r>
      <w:r>
        <w:rPr>
          <w:rStyle w:val="Style14"/>
          <w:sz w:val="20"/>
          <w:szCs w:val="20"/>
        </w:rPr>
        <w:t xml:space="preserve">5.  </w:t>
      </w:r>
      <w:r>
        <w:rPr>
          <w:rStyle w:val="Style14"/>
          <w:rFonts w:eastAsia="Arial Cyr" w:cs="Arial Cyr"/>
          <w:sz w:val="20"/>
          <w:szCs w:val="20"/>
        </w:rPr>
        <w:t xml:space="preserve">З порядком відбору арбітражної проби ознайомлені ______________________________________                        </w:t>
      </w:r>
    </w:p>
    <w:p>
      <w:pPr>
        <w:pStyle w:val="Normal"/>
        <w:rPr/>
      </w:pPr>
      <w:r>
        <w:rPr>
          <w:rStyle w:val="Style14"/>
          <w:rFonts w:eastAsia="Arial Cyr" w:cs="Arial Cyr"/>
          <w:sz w:val="20"/>
          <w:szCs w:val="20"/>
        </w:rPr>
        <w:t xml:space="preserve">                                                                                                             </w:t>
      </w:r>
      <w:r>
        <w:rPr>
          <w:rStyle w:val="Style14"/>
          <w:rFonts w:eastAsia="Arial Cyr" w:cs="Arial Cyr"/>
          <w:sz w:val="16"/>
          <w:szCs w:val="16"/>
        </w:rPr>
        <w:t>(підпис, прізвище, ініціали)</w:t>
      </w:r>
    </w:p>
    <w:p>
      <w:pPr>
        <w:pStyle w:val="Normal"/>
        <w:ind w:left="0" w:right="0" w:firstLine="360"/>
        <w:rPr>
          <w:sz w:val="20"/>
          <w:szCs w:val="20"/>
        </w:rPr>
      </w:pPr>
      <w:r>
        <w:rPr>
          <w:sz w:val="20"/>
          <w:szCs w:val="20"/>
        </w:rPr>
      </w:r>
    </w:p>
    <w:p>
      <w:pPr>
        <w:pStyle w:val="Normal"/>
        <w:ind w:left="0" w:right="0" w:firstLine="360"/>
        <w:rPr/>
      </w:pPr>
      <w:r>
        <w:rPr>
          <w:rStyle w:val="Style14"/>
          <w:sz w:val="20"/>
          <w:szCs w:val="20"/>
        </w:rPr>
        <w:t xml:space="preserve">Представник КП “Тернопільводоканал” _________________________________________________________                        </w:t>
      </w:r>
    </w:p>
    <w:p>
      <w:pPr>
        <w:pStyle w:val="Normal"/>
        <w:rPr/>
      </w:pPr>
      <w:r>
        <w:rPr>
          <w:rStyle w:val="Style14"/>
          <w:sz w:val="20"/>
          <w:szCs w:val="20"/>
        </w:rPr>
        <w:t xml:space="preserve">                                                                                                             </w:t>
      </w:r>
      <w:r>
        <w:rPr>
          <w:rStyle w:val="Style14"/>
          <w:sz w:val="16"/>
          <w:szCs w:val="16"/>
        </w:rPr>
        <w:t>(підпис, прізвище, ініціали)</w:t>
      </w:r>
    </w:p>
    <w:p>
      <w:pPr>
        <w:pStyle w:val="Normal"/>
        <w:rPr>
          <w:sz w:val="20"/>
          <w:szCs w:val="20"/>
        </w:rPr>
      </w:pPr>
      <w:r>
        <w:rPr>
          <w:sz w:val="20"/>
          <w:szCs w:val="20"/>
        </w:rPr>
        <w:t xml:space="preserve">       </w:t>
      </w:r>
      <w:r>
        <w:rPr>
          <w:sz w:val="20"/>
          <w:szCs w:val="20"/>
        </w:rPr>
        <w:t>Представник підприємства____________________________________________________________________</w:t>
      </w:r>
    </w:p>
    <w:p>
      <w:pPr>
        <w:pStyle w:val="Normal"/>
        <w:rPr/>
      </w:pPr>
      <w:r>
        <w:rPr>
          <w:rStyle w:val="Style14"/>
          <w:sz w:val="20"/>
          <w:szCs w:val="20"/>
        </w:rPr>
        <w:t xml:space="preserve">                                                                                               </w:t>
      </w:r>
      <w:r>
        <w:rPr>
          <w:rStyle w:val="Style14"/>
          <w:sz w:val="16"/>
          <w:szCs w:val="16"/>
        </w:rPr>
        <w:t>(підпис, прізвище, ініціали)</w:t>
      </w:r>
    </w:p>
    <w:p>
      <w:pPr>
        <w:pStyle w:val="Normal"/>
        <w:rPr>
          <w:sz w:val="20"/>
          <w:szCs w:val="20"/>
        </w:rPr>
      </w:pPr>
      <w:r>
        <w:rPr>
          <w:sz w:val="20"/>
          <w:szCs w:val="20"/>
        </w:rPr>
        <w:t xml:space="preserve">      </w:t>
      </w:r>
      <w:r>
        <w:rPr>
          <w:sz w:val="20"/>
          <w:szCs w:val="20"/>
        </w:rPr>
        <w:t>5. Арбітражні зразки проб  опечатані  представниками КП ”Тернопільводоканал” і підприємства , пломбою № _____________________</w:t>
      </w:r>
    </w:p>
    <w:p>
      <w:pPr>
        <w:pStyle w:val="Normal"/>
        <w:rPr/>
      </w:pPr>
      <w:r>
        <w:rPr>
          <w:rStyle w:val="Style14"/>
          <w:sz w:val="20"/>
          <w:szCs w:val="20"/>
        </w:rPr>
        <w:t>6.  Проба доставлена в лабораторію КП «Тернопільводоканал»______________________годин_________</w:t>
      </w:r>
      <w:r>
        <w:br w:type="page"/>
      </w:r>
    </w:p>
    <w:p>
      <w:pPr>
        <w:pStyle w:val="Style22"/>
        <w:widowControl/>
        <w:spacing w:before="0" w:after="0"/>
        <w:ind w:left="0" w:right="0" w:firstLine="709"/>
        <w:jc w:val="right"/>
        <w:rPr/>
      </w:pPr>
      <w:r>
        <w:rPr>
          <w:rStyle w:val="Style14"/>
          <w:b/>
          <w:color w:val="000000"/>
          <w:sz w:val="28"/>
          <w:szCs w:val="28"/>
        </w:rPr>
        <w:t>Додаток 7</w:t>
      </w:r>
    </w:p>
    <w:p>
      <w:pPr>
        <w:pStyle w:val="Style22"/>
        <w:widowControl/>
        <w:spacing w:before="0" w:after="0"/>
        <w:ind w:left="0" w:right="0" w:firstLine="709"/>
        <w:jc w:val="right"/>
        <w:rPr/>
      </w:pPr>
      <w:r>
        <w:rPr>
          <w:rStyle w:val="Style14"/>
          <w:b/>
          <w:color w:val="000000"/>
          <w:sz w:val="28"/>
          <w:szCs w:val="28"/>
        </w:rPr>
        <w:t>до Місцевих правил</w:t>
      </w:r>
      <w:r>
        <w:rPr>
          <w:rStyle w:val="Style14"/>
          <w:color w:val="000000"/>
          <w:sz w:val="28"/>
          <w:szCs w:val="28"/>
        </w:rPr>
        <w:t xml:space="preserve"> </w:t>
      </w:r>
      <w:r>
        <w:rPr>
          <w:rStyle w:val="Style14"/>
          <w:b/>
          <w:color w:val="000000"/>
          <w:sz w:val="28"/>
          <w:szCs w:val="28"/>
        </w:rPr>
        <w:t>приймання</w:t>
      </w:r>
    </w:p>
    <w:p>
      <w:pPr>
        <w:pStyle w:val="Style22"/>
        <w:widowControl/>
        <w:spacing w:before="0" w:after="0"/>
        <w:ind w:left="0" w:right="0" w:firstLine="709"/>
        <w:jc w:val="right"/>
        <w:rPr>
          <w:b/>
          <w:b/>
          <w:color w:val="000000"/>
          <w:sz w:val="28"/>
          <w:szCs w:val="28"/>
        </w:rPr>
      </w:pPr>
      <w:r>
        <w:rPr>
          <w:b/>
          <w:color w:val="000000"/>
          <w:sz w:val="28"/>
          <w:szCs w:val="28"/>
        </w:rPr>
        <w:t>стічних вод до систем централізованого</w:t>
      </w:r>
    </w:p>
    <w:p>
      <w:pPr>
        <w:pStyle w:val="Style22"/>
        <w:widowControl/>
        <w:autoSpaceDE w:val="false"/>
        <w:spacing w:before="0" w:after="0"/>
        <w:ind w:left="0" w:right="0" w:firstLine="709"/>
        <w:jc w:val="right"/>
        <w:rPr>
          <w:b/>
          <w:b/>
          <w:bCs/>
          <w:color w:val="000000"/>
          <w:sz w:val="28"/>
          <w:szCs w:val="28"/>
        </w:rPr>
      </w:pPr>
      <w:r>
        <w:rPr>
          <w:b/>
          <w:bCs/>
          <w:color w:val="000000"/>
          <w:sz w:val="28"/>
          <w:szCs w:val="28"/>
        </w:rPr>
        <w:t>водовідведення міста Тернопіль</w:t>
      </w:r>
    </w:p>
    <w:p>
      <w:pPr>
        <w:pStyle w:val="Normal"/>
        <w:jc w:val="center"/>
        <w:rPr>
          <w:bCs/>
          <w:color w:val="000000"/>
          <w:sz w:val="20"/>
          <w:szCs w:val="20"/>
        </w:rPr>
      </w:pPr>
      <w:r>
        <w:rPr>
          <w:bCs/>
          <w:color w:val="000000"/>
          <w:sz w:val="20"/>
          <w:szCs w:val="20"/>
        </w:rPr>
      </w:r>
    </w:p>
    <w:p>
      <w:pPr>
        <w:pStyle w:val="Normal"/>
        <w:jc w:val="center"/>
        <w:rPr>
          <w:sz w:val="20"/>
          <w:szCs w:val="20"/>
        </w:rPr>
      </w:pPr>
      <w:r>
        <w:rPr>
          <w:sz w:val="20"/>
          <w:szCs w:val="20"/>
        </w:rPr>
        <w:t>КОМУНАЛЬНЕ ПІДПРИЄМСТВО “ТЕРНОПІЛЬВОДОКАНАЛ”</w:t>
      </w:r>
    </w:p>
    <w:p>
      <w:pPr>
        <w:pStyle w:val="Normal"/>
        <w:rPr>
          <w:sz w:val="20"/>
          <w:szCs w:val="20"/>
        </w:rPr>
      </w:pPr>
      <w:r>
        <w:rPr>
          <w:sz w:val="20"/>
          <w:szCs w:val="20"/>
        </w:rPr>
        <w:t xml:space="preserve">      </w:t>
      </w:r>
      <w:r>
        <w:rPr>
          <w:sz w:val="20"/>
          <w:szCs w:val="20"/>
        </w:rPr>
        <w:t>вул. Танцорова, 7                                                                                                                  тел. 52 09 79</w:t>
      </w:r>
    </w:p>
    <w:p>
      <w:pPr>
        <w:pStyle w:val="Normal"/>
        <w:autoSpaceDE w:val="false"/>
        <w:rPr>
          <w:bCs/>
          <w:color w:val="000000"/>
          <w:sz w:val="20"/>
          <w:szCs w:val="20"/>
        </w:rPr>
      </w:pPr>
      <w:r>
        <w:rPr>
          <w:bCs/>
          <w:color w:val="000000"/>
          <w:sz w:val="20"/>
          <w:szCs w:val="20"/>
        </w:rPr>
      </w:r>
    </w:p>
    <w:p>
      <w:pPr>
        <w:pStyle w:val="Normal"/>
        <w:autoSpaceDE w:val="false"/>
        <w:rPr>
          <w:bCs/>
          <w:color w:val="000000"/>
        </w:rPr>
      </w:pPr>
      <w:r>
        <w:rPr>
          <w:bCs/>
          <w:color w:val="000000"/>
        </w:rPr>
      </w:r>
    </w:p>
    <w:p>
      <w:pPr>
        <w:pStyle w:val="Normal"/>
        <w:autoSpaceDE w:val="false"/>
        <w:jc w:val="center"/>
        <w:rPr>
          <w:b/>
          <w:b/>
          <w:bCs/>
          <w:i/>
          <w:i/>
          <w:iCs/>
          <w:color w:val="000000"/>
        </w:rPr>
      </w:pPr>
      <w:r>
        <w:rPr>
          <w:b/>
          <w:bCs/>
          <w:i/>
          <w:iCs/>
          <w:color w:val="000000"/>
        </w:rPr>
        <w:t>АКТ ПРО НЕДОПУЩЕННЯ ДО ВІДБОРУ ПРОБ СТІЧНИХ ВОД №______</w:t>
      </w:r>
    </w:p>
    <w:p>
      <w:pPr>
        <w:pStyle w:val="Normal"/>
        <w:autoSpaceDE w:val="false"/>
        <w:jc w:val="center"/>
        <w:rPr>
          <w:b/>
          <w:b/>
          <w:bCs/>
          <w:i/>
          <w:i/>
          <w:iCs/>
          <w:color w:val="000000"/>
        </w:rPr>
      </w:pPr>
      <w:r>
        <w:rPr>
          <w:b/>
          <w:bCs/>
          <w:i/>
          <w:iCs/>
          <w:color w:val="000000"/>
        </w:rPr>
      </w:r>
    </w:p>
    <w:p>
      <w:pPr>
        <w:pStyle w:val="Normal"/>
        <w:autoSpaceDE w:val="false"/>
        <w:rPr/>
      </w:pPr>
      <w:r>
        <w:rPr>
          <w:rStyle w:val="Style14"/>
          <w:bCs/>
          <w:color w:val="000000"/>
        </w:rPr>
        <w:t xml:space="preserve">                                         </w:t>
      </w:r>
      <w:r>
        <w:rPr>
          <w:rStyle w:val="Style14"/>
          <w:bCs/>
          <w:color w:val="FF0000"/>
        </w:rPr>
        <w:t xml:space="preserve">             </w:t>
      </w:r>
      <w:r>
        <w:rPr>
          <w:rStyle w:val="Style14"/>
          <w:bCs/>
        </w:rPr>
        <w:t>“</w:t>
      </w:r>
      <w:r>
        <w:rPr>
          <w:rStyle w:val="Style14"/>
          <w:bCs/>
        </w:rPr>
        <w:t>____ ”__________ 201__ р.</w:t>
      </w:r>
    </w:p>
    <w:p>
      <w:pPr>
        <w:pStyle w:val="Normal"/>
        <w:autoSpaceDE w:val="false"/>
        <w:rPr>
          <w:bCs/>
          <w:color w:val="000000"/>
        </w:rPr>
      </w:pPr>
      <w:r>
        <w:rPr>
          <w:bCs/>
          <w:color w:val="000000"/>
        </w:rPr>
      </w:r>
    </w:p>
    <w:p>
      <w:pPr>
        <w:pStyle w:val="Normal"/>
        <w:autoSpaceDE w:val="false"/>
        <w:rPr>
          <w:bCs/>
          <w:color w:val="000000"/>
        </w:rPr>
      </w:pPr>
      <w:r>
        <w:rPr>
          <w:bCs/>
          <w:color w:val="000000"/>
        </w:rPr>
        <w:t>________________________________________________________________________________</w:t>
      </w:r>
    </w:p>
    <w:p>
      <w:pPr>
        <w:pStyle w:val="Normal"/>
        <w:autoSpaceDE w:val="false"/>
        <w:rPr/>
      </w:pPr>
      <w:r>
        <w:rPr>
          <w:rStyle w:val="Style14"/>
          <w:bCs/>
          <w:color w:val="000000"/>
        </w:rPr>
        <w:t xml:space="preserve">                                   </w:t>
      </w:r>
      <w:r>
        <w:rPr>
          <w:rStyle w:val="Style14"/>
          <w:bCs/>
          <w:color w:val="000000"/>
          <w:sz w:val="16"/>
          <w:szCs w:val="16"/>
        </w:rPr>
        <w:t>(повне найменування підприємства, його місце знаходження)</w:t>
      </w:r>
    </w:p>
    <w:p>
      <w:pPr>
        <w:pStyle w:val="Normal"/>
        <w:autoSpaceDE w:val="false"/>
        <w:rPr/>
      </w:pPr>
      <w:r>
        <w:rPr>
          <w:rStyle w:val="Style14"/>
          <w:bCs/>
          <w:color w:val="000000"/>
          <w:sz w:val="16"/>
          <w:szCs w:val="16"/>
        </w:rPr>
        <w:t>______________________________________________(</w:t>
      </w:r>
      <w:r>
        <w:rPr>
          <w:rStyle w:val="Style14"/>
          <w:bCs/>
          <w:color w:val="000000"/>
        </w:rPr>
        <w:t xml:space="preserve">договір ____________від </w:t>
      </w:r>
      <w:r>
        <w:rPr>
          <w:rStyle w:val="Style14"/>
          <w:bCs/>
        </w:rPr>
        <w:t>„___”________201_р</w:t>
      </w:r>
      <w:r>
        <w:rPr>
          <w:rStyle w:val="Style14"/>
          <w:bCs/>
          <w:color w:val="000000"/>
        </w:rPr>
        <w:t xml:space="preserve"> №____)</w:t>
      </w:r>
    </w:p>
    <w:p>
      <w:pPr>
        <w:pStyle w:val="Normal"/>
        <w:autoSpaceDE w:val="false"/>
        <w:rPr>
          <w:bCs/>
          <w:color w:val="000000"/>
          <w:sz w:val="16"/>
          <w:szCs w:val="16"/>
        </w:rPr>
      </w:pPr>
      <w:r>
        <w:rPr>
          <w:bCs/>
          <w:color w:val="000000"/>
          <w:sz w:val="16"/>
          <w:szCs w:val="16"/>
        </w:rPr>
        <w:t xml:space="preserve">                                                                                                                                                   </w:t>
      </w:r>
      <w:r>
        <w:rPr>
          <w:bCs/>
          <w:color w:val="000000"/>
          <w:sz w:val="16"/>
          <w:szCs w:val="16"/>
        </w:rPr>
        <w:t>(назва договору)</w:t>
      </w:r>
    </w:p>
    <w:p>
      <w:pPr>
        <w:pStyle w:val="Normal"/>
        <w:autoSpaceDE w:val="false"/>
        <w:rPr>
          <w:bCs/>
          <w:color w:val="000000"/>
        </w:rPr>
      </w:pPr>
      <w:r>
        <w:rPr>
          <w:bCs/>
          <w:color w:val="000000"/>
        </w:rPr>
        <w:t>Ми, що нижче підписалися представники КП “Тернопільводоканал”</w:t>
      </w:r>
    </w:p>
    <w:p>
      <w:pPr>
        <w:pStyle w:val="Normal"/>
        <w:autoSpaceDE w:val="false"/>
        <w:rPr>
          <w:bCs/>
          <w:color w:val="000000"/>
        </w:rPr>
      </w:pPr>
      <w:r>
        <w:rPr>
          <w:bCs/>
          <w:color w:val="000000"/>
        </w:rPr>
        <w:t>________________________________________________________________________________</w:t>
      </w:r>
    </w:p>
    <w:p>
      <w:pPr>
        <w:pStyle w:val="Normal"/>
        <w:autoSpaceDE w:val="false"/>
        <w:rPr>
          <w:bCs/>
          <w:color w:val="000000"/>
        </w:rPr>
      </w:pPr>
      <w:r>
        <w:rPr>
          <w:bCs/>
          <w:color w:val="000000"/>
        </w:rPr>
        <w:t>________________________________________________________________________________</w:t>
      </w:r>
    </w:p>
    <w:p>
      <w:pPr>
        <w:pStyle w:val="Normal"/>
        <w:autoSpaceDE w:val="false"/>
        <w:rPr/>
      </w:pPr>
      <w:r>
        <w:rPr>
          <w:rStyle w:val="Style14"/>
          <w:bCs/>
          <w:color w:val="000000"/>
        </w:rPr>
        <w:t xml:space="preserve">                                                                     </w:t>
      </w:r>
      <w:r>
        <w:rPr>
          <w:rStyle w:val="Style14"/>
          <w:bCs/>
          <w:color w:val="000000"/>
          <w:sz w:val="16"/>
          <w:szCs w:val="16"/>
        </w:rPr>
        <w:t>(посада, П.І.Б. )</w:t>
      </w:r>
    </w:p>
    <w:p>
      <w:pPr>
        <w:pStyle w:val="Normal"/>
        <w:autoSpaceDE w:val="false"/>
        <w:rPr>
          <w:bCs/>
          <w:color w:val="000000"/>
          <w:sz w:val="16"/>
          <w:szCs w:val="16"/>
        </w:rPr>
      </w:pPr>
      <w:r>
        <w:rPr>
          <w:bCs/>
          <w:color w:val="000000"/>
          <w:sz w:val="16"/>
          <w:szCs w:val="16"/>
        </w:rPr>
      </w:r>
    </w:p>
    <w:p>
      <w:pPr>
        <w:pStyle w:val="Normal"/>
        <w:autoSpaceDE w:val="false"/>
        <w:rPr/>
      </w:pPr>
      <w:r>
        <w:rPr>
          <w:rStyle w:val="Style14"/>
          <w:bCs/>
          <w:color w:val="000000"/>
          <w:sz w:val="21"/>
          <w:szCs w:val="21"/>
        </w:rPr>
        <w:t>склали  акт про наступне:    “____”___________ 201__р. о ______год. Підприємство</w:t>
      </w:r>
    </w:p>
    <w:p>
      <w:pPr>
        <w:pStyle w:val="Normal"/>
        <w:autoSpaceDE w:val="false"/>
        <w:rPr>
          <w:bCs/>
          <w:color w:val="000000"/>
          <w:sz w:val="16"/>
          <w:szCs w:val="16"/>
        </w:rPr>
      </w:pPr>
      <w:r>
        <w:rPr>
          <w:bCs/>
          <w:color w:val="000000"/>
          <w:sz w:val="16"/>
          <w:szCs w:val="16"/>
        </w:rPr>
      </w:r>
    </w:p>
    <w:p>
      <w:pPr>
        <w:pStyle w:val="Normal"/>
        <w:autoSpaceDE w:val="false"/>
        <w:rPr>
          <w:bCs/>
          <w:color w:val="000000"/>
          <w:sz w:val="16"/>
          <w:szCs w:val="16"/>
        </w:rPr>
      </w:pPr>
      <w:r>
        <w:rPr>
          <w:bCs/>
          <w:color w:val="000000"/>
          <w:sz w:val="16"/>
          <w:szCs w:val="16"/>
        </w:rPr>
      </w:r>
    </w:p>
    <w:p>
      <w:pPr>
        <w:pStyle w:val="Normal"/>
        <w:autoSpaceDE w:val="false"/>
        <w:rPr>
          <w:bCs/>
          <w:color w:val="000000"/>
          <w:sz w:val="16"/>
          <w:szCs w:val="16"/>
        </w:rPr>
      </w:pPr>
      <w:r>
        <w:rPr>
          <w:bCs/>
          <w:color w:val="000000"/>
          <w:sz w:val="16"/>
          <w:szCs w:val="16"/>
        </w:rPr>
        <w:t>________________________________________________________________________________________________________________________</w:t>
      </w:r>
    </w:p>
    <w:p>
      <w:pPr>
        <w:pStyle w:val="Normal"/>
        <w:autoSpaceDE w:val="false"/>
        <w:rPr>
          <w:bCs/>
          <w:color w:val="000000"/>
          <w:sz w:val="16"/>
          <w:szCs w:val="16"/>
        </w:rPr>
      </w:pPr>
      <w:r>
        <w:rPr>
          <w:bCs/>
          <w:color w:val="000000"/>
          <w:sz w:val="16"/>
          <w:szCs w:val="16"/>
        </w:rPr>
        <w:t xml:space="preserve">                                                                </w:t>
      </w:r>
    </w:p>
    <w:p>
      <w:pPr>
        <w:pStyle w:val="Normal"/>
        <w:autoSpaceDE w:val="false"/>
        <w:rPr>
          <w:bCs/>
          <w:color w:val="000000"/>
          <w:sz w:val="21"/>
          <w:szCs w:val="21"/>
        </w:rPr>
      </w:pPr>
      <w:r>
        <w:rPr>
          <w:bCs/>
          <w:color w:val="000000"/>
          <w:sz w:val="21"/>
          <w:szCs w:val="21"/>
        </w:rPr>
        <w:t>___________________________________________________________________________________________,</w:t>
      </w:r>
    </w:p>
    <w:p>
      <w:pPr>
        <w:pStyle w:val="Normal"/>
        <w:autoSpaceDE w:val="false"/>
        <w:rPr>
          <w:bCs/>
          <w:color w:val="000000"/>
          <w:sz w:val="16"/>
          <w:szCs w:val="16"/>
        </w:rPr>
      </w:pPr>
      <w:r>
        <w:rPr>
          <w:bCs/>
          <w:color w:val="000000"/>
          <w:sz w:val="16"/>
          <w:szCs w:val="16"/>
        </w:rPr>
        <w:t xml:space="preserve">                                                                    </w:t>
      </w:r>
      <w:r>
        <w:rPr>
          <w:bCs/>
          <w:color w:val="000000"/>
          <w:sz w:val="16"/>
          <w:szCs w:val="16"/>
        </w:rPr>
        <w:t>(зазначити порушення відповідно до п. . Місцевих правил приймання)</w:t>
      </w:r>
    </w:p>
    <w:p>
      <w:pPr>
        <w:pStyle w:val="Normal"/>
        <w:autoSpaceDE w:val="false"/>
        <w:rPr>
          <w:bCs/>
          <w:color w:val="000000"/>
          <w:sz w:val="16"/>
          <w:szCs w:val="16"/>
        </w:rPr>
      </w:pPr>
      <w:r>
        <w:rPr>
          <w:bCs/>
          <w:color w:val="000000"/>
          <w:sz w:val="16"/>
          <w:szCs w:val="16"/>
        </w:rPr>
      </w:r>
    </w:p>
    <w:p>
      <w:pPr>
        <w:pStyle w:val="Normal"/>
        <w:autoSpaceDE w:val="false"/>
        <w:rPr/>
      </w:pPr>
      <w:r>
        <w:rPr>
          <w:rStyle w:val="Style14"/>
          <w:bCs/>
          <w:color w:val="000000"/>
          <w:sz w:val="21"/>
          <w:szCs w:val="21"/>
        </w:rPr>
        <w:t xml:space="preserve">що є порушенням місцевих Правил приймання стічних вод </w:t>
      </w:r>
      <w:r>
        <w:rPr>
          <w:rStyle w:val="Style14"/>
          <w:bCs/>
          <w:color w:val="000000"/>
        </w:rPr>
        <w:t>підприємств</w:t>
      </w:r>
      <w:r>
        <w:rPr>
          <w:rStyle w:val="Style14"/>
          <w:bCs/>
          <w:color w:val="000000"/>
          <w:sz w:val="21"/>
          <w:szCs w:val="21"/>
        </w:rPr>
        <w:t xml:space="preserve"> у систему каналізації м. Тернопіль</w:t>
      </w:r>
    </w:p>
    <w:p>
      <w:pPr>
        <w:pStyle w:val="Normal"/>
        <w:autoSpaceDE w:val="false"/>
        <w:rPr>
          <w:bCs/>
          <w:color w:val="000000"/>
          <w:sz w:val="21"/>
          <w:szCs w:val="21"/>
        </w:rPr>
      </w:pPr>
      <w:r>
        <w:rPr>
          <w:bCs/>
          <w:color w:val="000000"/>
          <w:sz w:val="21"/>
          <w:szCs w:val="21"/>
        </w:rPr>
        <w:t>затверджених “____”___________ 201__ р.</w:t>
      </w:r>
    </w:p>
    <w:p>
      <w:pPr>
        <w:pStyle w:val="Normal"/>
        <w:autoSpaceDE w:val="false"/>
        <w:rPr>
          <w:bCs/>
          <w:color w:val="000000"/>
          <w:sz w:val="21"/>
          <w:szCs w:val="21"/>
        </w:rPr>
      </w:pPr>
      <w:r>
        <w:rPr>
          <w:bCs/>
          <w:color w:val="000000"/>
          <w:sz w:val="21"/>
          <w:szCs w:val="21"/>
        </w:rPr>
      </w:r>
    </w:p>
    <w:p>
      <w:pPr>
        <w:pStyle w:val="Normal"/>
        <w:autoSpaceDE w:val="false"/>
        <w:rPr>
          <w:bCs/>
          <w:color w:val="000000"/>
          <w:sz w:val="21"/>
          <w:szCs w:val="21"/>
        </w:rPr>
      </w:pPr>
      <w:r>
        <w:rPr>
          <w:bCs/>
          <w:color w:val="000000"/>
          <w:sz w:val="21"/>
          <w:szCs w:val="21"/>
        </w:rPr>
      </w:r>
    </w:p>
    <w:p>
      <w:pPr>
        <w:pStyle w:val="Normal"/>
        <w:autoSpaceDE w:val="false"/>
        <w:rPr>
          <w:bCs/>
          <w:color w:val="000000"/>
          <w:sz w:val="21"/>
          <w:szCs w:val="21"/>
        </w:rPr>
      </w:pPr>
      <w:r>
        <w:rPr>
          <w:bCs/>
          <w:color w:val="000000"/>
          <w:sz w:val="21"/>
          <w:szCs w:val="21"/>
        </w:rPr>
        <w:t>Були присутні:</w:t>
      </w:r>
    </w:p>
    <w:p>
      <w:pPr>
        <w:pStyle w:val="Normal"/>
        <w:autoSpaceDE w:val="false"/>
        <w:rPr>
          <w:bCs/>
          <w:color w:val="000000"/>
          <w:sz w:val="21"/>
          <w:szCs w:val="21"/>
        </w:rPr>
      </w:pPr>
      <w:r>
        <w:rPr>
          <w:bCs/>
          <w:color w:val="000000"/>
          <w:sz w:val="21"/>
          <w:szCs w:val="21"/>
        </w:rPr>
      </w:r>
    </w:p>
    <w:p>
      <w:pPr>
        <w:pStyle w:val="Normal"/>
        <w:autoSpaceDE w:val="false"/>
        <w:rPr>
          <w:bCs/>
          <w:color w:val="000000"/>
          <w:sz w:val="21"/>
          <w:szCs w:val="21"/>
        </w:rPr>
      </w:pPr>
      <w:r>
        <w:rPr>
          <w:bCs/>
          <w:color w:val="000000"/>
          <w:sz w:val="21"/>
          <w:szCs w:val="21"/>
        </w:rPr>
      </w:r>
    </w:p>
    <w:p>
      <w:pPr>
        <w:pStyle w:val="Normal"/>
        <w:autoSpaceDE w:val="false"/>
        <w:rPr>
          <w:bCs/>
          <w:color w:val="000000"/>
          <w:sz w:val="21"/>
          <w:szCs w:val="21"/>
        </w:rPr>
      </w:pPr>
      <w:r>
        <w:rPr>
          <w:bCs/>
          <w:color w:val="000000"/>
          <w:sz w:val="21"/>
          <w:szCs w:val="21"/>
        </w:rPr>
        <w:t>представники Водоканалу:</w:t>
      </w:r>
    </w:p>
    <w:p>
      <w:pPr>
        <w:pStyle w:val="Normal"/>
        <w:autoSpaceDE w:val="false"/>
        <w:rPr>
          <w:bCs/>
          <w:color w:val="000000"/>
          <w:sz w:val="21"/>
          <w:szCs w:val="21"/>
        </w:rPr>
      </w:pPr>
      <w:r>
        <w:rPr>
          <w:bCs/>
          <w:color w:val="000000"/>
          <w:sz w:val="21"/>
          <w:szCs w:val="21"/>
        </w:rPr>
      </w:r>
    </w:p>
    <w:p>
      <w:pPr>
        <w:pStyle w:val="Normal"/>
        <w:autoSpaceDE w:val="false"/>
        <w:rPr>
          <w:bCs/>
          <w:color w:val="000000"/>
          <w:sz w:val="16"/>
          <w:szCs w:val="16"/>
        </w:rPr>
      </w:pPr>
      <w:r>
        <w:rPr>
          <w:bCs/>
          <w:color w:val="000000"/>
          <w:sz w:val="16"/>
          <w:szCs w:val="16"/>
        </w:rPr>
        <w:t>____________________                                                                                                                              ___________________________</w:t>
      </w:r>
    </w:p>
    <w:p>
      <w:pPr>
        <w:pStyle w:val="Normal"/>
        <w:autoSpaceDE w:val="false"/>
        <w:rPr>
          <w:bCs/>
          <w:color w:val="000000"/>
          <w:sz w:val="13"/>
          <w:szCs w:val="13"/>
        </w:rPr>
      </w:pPr>
      <w:r>
        <w:rPr>
          <w:bCs/>
          <w:color w:val="000000"/>
          <w:sz w:val="13"/>
          <w:szCs w:val="13"/>
        </w:rPr>
        <w:t>П.І. Б.                                                                                                                                                                                                                                                   підпис</w:t>
      </w:r>
    </w:p>
    <w:p>
      <w:pPr>
        <w:pStyle w:val="Normal"/>
        <w:autoSpaceDE w:val="false"/>
        <w:rPr>
          <w:bCs/>
          <w:color w:val="000000"/>
          <w:sz w:val="13"/>
          <w:szCs w:val="13"/>
        </w:rPr>
      </w:pPr>
      <w:r>
        <w:rPr>
          <w:bCs/>
          <w:color w:val="000000"/>
          <w:sz w:val="13"/>
          <w:szCs w:val="13"/>
        </w:rPr>
      </w:r>
    </w:p>
    <w:p>
      <w:pPr>
        <w:pStyle w:val="Normal"/>
        <w:autoSpaceDE w:val="false"/>
        <w:rPr>
          <w:bCs/>
          <w:color w:val="000000"/>
          <w:sz w:val="16"/>
          <w:szCs w:val="16"/>
        </w:rPr>
      </w:pPr>
      <w:r>
        <w:rPr>
          <w:bCs/>
          <w:color w:val="000000"/>
          <w:sz w:val="16"/>
          <w:szCs w:val="16"/>
        </w:rPr>
        <w:t>____________________                                                                                                                             ____________________________</w:t>
      </w:r>
    </w:p>
    <w:p>
      <w:pPr>
        <w:pStyle w:val="Normal"/>
        <w:autoSpaceDE w:val="false"/>
        <w:rPr>
          <w:bCs/>
          <w:color w:val="000000"/>
          <w:sz w:val="13"/>
          <w:szCs w:val="13"/>
        </w:rPr>
      </w:pPr>
      <w:r>
        <w:rPr>
          <w:bCs/>
          <w:color w:val="000000"/>
          <w:sz w:val="13"/>
          <w:szCs w:val="13"/>
        </w:rPr>
        <w:t>П.І. Б.                                                                                                                                                                                                                                                    підпис</w:t>
      </w:r>
    </w:p>
    <w:p>
      <w:pPr>
        <w:pStyle w:val="Normal"/>
        <w:autoSpaceDE w:val="false"/>
        <w:rPr>
          <w:bCs/>
          <w:color w:val="000000"/>
          <w:sz w:val="13"/>
          <w:szCs w:val="13"/>
        </w:rPr>
      </w:pPr>
      <w:r>
        <w:rPr>
          <w:bCs/>
          <w:color w:val="000000"/>
          <w:sz w:val="13"/>
          <w:szCs w:val="13"/>
        </w:rPr>
      </w:r>
    </w:p>
    <w:p>
      <w:pPr>
        <w:pStyle w:val="Normal"/>
        <w:autoSpaceDE w:val="false"/>
        <w:rPr>
          <w:bCs/>
          <w:color w:val="000000"/>
          <w:sz w:val="13"/>
          <w:szCs w:val="13"/>
        </w:rPr>
      </w:pPr>
      <w:r>
        <w:rPr>
          <w:bCs/>
          <w:color w:val="000000"/>
          <w:sz w:val="13"/>
          <w:szCs w:val="13"/>
        </w:rPr>
      </w:r>
    </w:p>
    <w:p>
      <w:pPr>
        <w:pStyle w:val="Normal"/>
        <w:autoSpaceDE w:val="false"/>
        <w:rPr>
          <w:bCs/>
          <w:color w:val="000000"/>
        </w:rPr>
      </w:pPr>
      <w:r>
        <w:rPr>
          <w:bCs/>
          <w:color w:val="000000"/>
        </w:rPr>
        <w:t>представники підприємства (у разі їх присутності):</w:t>
      </w:r>
    </w:p>
    <w:p>
      <w:pPr>
        <w:pStyle w:val="Normal"/>
        <w:autoSpaceDE w:val="false"/>
        <w:rPr>
          <w:bCs/>
          <w:color w:val="000000"/>
        </w:rPr>
      </w:pPr>
      <w:r>
        <w:rPr>
          <w:bCs/>
          <w:color w:val="000000"/>
        </w:rPr>
      </w:r>
    </w:p>
    <w:p>
      <w:pPr>
        <w:pStyle w:val="Normal"/>
        <w:autoSpaceDE w:val="false"/>
        <w:rPr>
          <w:bCs/>
          <w:color w:val="000000"/>
          <w:sz w:val="16"/>
          <w:szCs w:val="16"/>
        </w:rPr>
      </w:pPr>
      <w:r>
        <w:rPr>
          <w:bCs/>
          <w:color w:val="000000"/>
          <w:sz w:val="16"/>
          <w:szCs w:val="16"/>
        </w:rPr>
        <w:t>________________________________________________________________________________________________________________________</w:t>
      </w:r>
    </w:p>
    <w:p>
      <w:pPr>
        <w:pStyle w:val="Normal"/>
        <w:autoSpaceDE w:val="false"/>
        <w:rPr>
          <w:bCs/>
          <w:color w:val="000000"/>
          <w:sz w:val="16"/>
          <w:szCs w:val="16"/>
        </w:rPr>
      </w:pPr>
      <w:r>
        <w:rPr>
          <w:bCs/>
          <w:color w:val="000000"/>
          <w:sz w:val="16"/>
          <w:szCs w:val="16"/>
        </w:rPr>
        <w:t xml:space="preserve">                                                                </w:t>
      </w:r>
    </w:p>
    <w:p>
      <w:pPr>
        <w:pStyle w:val="Normal"/>
        <w:autoSpaceDE w:val="false"/>
        <w:rPr>
          <w:bCs/>
          <w:color w:val="000000"/>
        </w:rPr>
      </w:pPr>
      <w:r>
        <w:rPr>
          <w:bCs/>
          <w:color w:val="000000"/>
        </w:rPr>
      </w:r>
    </w:p>
    <w:p>
      <w:pPr>
        <w:pStyle w:val="Normal"/>
        <w:autoSpaceDE w:val="false"/>
        <w:rPr>
          <w:bCs/>
          <w:color w:val="000000"/>
          <w:sz w:val="16"/>
          <w:szCs w:val="16"/>
        </w:rPr>
      </w:pPr>
      <w:r>
        <w:rPr>
          <w:bCs/>
          <w:color w:val="000000"/>
          <w:sz w:val="16"/>
          <w:szCs w:val="16"/>
        </w:rPr>
        <w:t>____________________                                                                                                                             ______________________________</w:t>
      </w:r>
    </w:p>
    <w:p>
      <w:pPr>
        <w:pStyle w:val="Normal"/>
        <w:autoSpaceDE w:val="false"/>
        <w:rPr>
          <w:bCs/>
          <w:color w:val="000000"/>
          <w:sz w:val="13"/>
          <w:szCs w:val="13"/>
        </w:rPr>
      </w:pPr>
      <w:r>
        <w:rPr>
          <w:bCs/>
          <w:color w:val="000000"/>
          <w:sz w:val="13"/>
          <w:szCs w:val="13"/>
        </w:rPr>
        <w:t>П.І. Б.                                                                                                                                                                                                                                                    підпис</w:t>
      </w:r>
    </w:p>
    <w:p>
      <w:pPr>
        <w:pStyle w:val="Normal"/>
        <w:autoSpaceDE w:val="false"/>
        <w:rPr>
          <w:bCs/>
          <w:color w:val="000000"/>
          <w:sz w:val="13"/>
          <w:szCs w:val="13"/>
        </w:rPr>
      </w:pPr>
      <w:r>
        <w:rPr>
          <w:bCs/>
          <w:color w:val="000000"/>
          <w:sz w:val="13"/>
          <w:szCs w:val="13"/>
        </w:rPr>
      </w:r>
    </w:p>
    <w:p>
      <w:pPr>
        <w:pStyle w:val="Normal"/>
        <w:autoSpaceDE w:val="false"/>
        <w:rPr>
          <w:bCs/>
          <w:color w:val="000000"/>
          <w:sz w:val="16"/>
          <w:szCs w:val="16"/>
        </w:rPr>
      </w:pPr>
      <w:r>
        <w:rPr>
          <w:bCs/>
          <w:color w:val="000000"/>
          <w:sz w:val="16"/>
          <w:szCs w:val="16"/>
        </w:rPr>
        <w:t>____________________                                                                                                                             ______________________________</w:t>
      </w:r>
    </w:p>
    <w:p>
      <w:pPr>
        <w:pStyle w:val="Normal"/>
        <w:autoSpaceDE w:val="false"/>
        <w:rPr>
          <w:bCs/>
          <w:color w:val="000000"/>
          <w:sz w:val="13"/>
          <w:szCs w:val="13"/>
        </w:rPr>
      </w:pPr>
      <w:r>
        <w:rPr>
          <w:bCs/>
          <w:color w:val="000000"/>
          <w:sz w:val="13"/>
          <w:szCs w:val="13"/>
        </w:rPr>
        <w:t>П.І. Б.                                                                                                                                                                                                                                                      підпис</w:t>
      </w:r>
    </w:p>
    <w:p>
      <w:pPr>
        <w:pStyle w:val="Normal"/>
        <w:widowControl/>
        <w:autoSpaceDE w:val="false"/>
        <w:spacing w:lineRule="auto" w:line="360"/>
        <w:ind w:left="0" w:right="0" w:firstLine="426"/>
        <w:jc w:val="both"/>
        <w:rPr>
          <w:bCs/>
          <w:color w:val="000000"/>
          <w:sz w:val="20"/>
          <w:szCs w:val="20"/>
        </w:rPr>
      </w:pPr>
      <w:r>
        <w:rPr>
          <w:bCs/>
          <w:color w:val="000000"/>
          <w:sz w:val="20"/>
          <w:szCs w:val="20"/>
        </w:rPr>
      </w:r>
      <w:r>
        <w:br w:type="page"/>
      </w:r>
    </w:p>
    <w:p>
      <w:pPr>
        <w:pStyle w:val="Normal"/>
        <w:autoSpaceDE w:val="false"/>
        <w:jc w:val="right"/>
        <w:rPr/>
      </w:pPr>
      <w:r>
        <w:rPr>
          <w:bCs/>
          <w:i w:val="false"/>
          <w:iCs w:val="false"/>
          <w:color w:val="000000"/>
          <w:lang w:val="uk-UA"/>
        </w:rPr>
        <w:t xml:space="preserve">  </w:t>
      </w:r>
      <w:r>
        <w:rPr>
          <w:rStyle w:val="Style14"/>
          <w:b/>
          <w:bCs/>
          <w:i w:val="false"/>
          <w:iCs w:val="false"/>
          <w:color w:val="000000"/>
          <w:sz w:val="28"/>
          <w:szCs w:val="28"/>
          <w:lang w:val="uk-UA"/>
        </w:rPr>
        <w:t xml:space="preserve">Додаток </w:t>
      </w:r>
      <w:r>
        <w:rPr>
          <w:rStyle w:val="Style14"/>
          <w:b/>
          <w:bCs/>
          <w:i w:val="false"/>
          <w:iCs w:val="false"/>
          <w:color w:val="000000"/>
          <w:sz w:val="28"/>
          <w:szCs w:val="28"/>
          <w:lang w:val="uk-UA"/>
        </w:rPr>
        <w:t>8</w:t>
      </w:r>
    </w:p>
    <w:p>
      <w:pPr>
        <w:pStyle w:val="Style22"/>
        <w:widowControl/>
        <w:spacing w:before="0" w:after="0"/>
        <w:ind w:left="0" w:right="0" w:firstLine="709"/>
        <w:jc w:val="right"/>
        <w:rPr/>
      </w:pPr>
      <w:r>
        <w:rPr>
          <w:rStyle w:val="Style14"/>
          <w:b/>
          <w:i w:val="false"/>
          <w:iCs w:val="false"/>
          <w:color w:val="000000"/>
          <w:sz w:val="28"/>
          <w:szCs w:val="28"/>
        </w:rPr>
        <w:t>до Місцевих правил</w:t>
      </w:r>
      <w:r>
        <w:rPr>
          <w:rStyle w:val="Style14"/>
          <w:i w:val="false"/>
          <w:iCs w:val="false"/>
          <w:color w:val="000000"/>
          <w:sz w:val="28"/>
          <w:szCs w:val="28"/>
        </w:rPr>
        <w:t xml:space="preserve"> </w:t>
      </w:r>
      <w:r>
        <w:rPr>
          <w:rStyle w:val="Style14"/>
          <w:b/>
          <w:i w:val="false"/>
          <w:iCs w:val="false"/>
          <w:color w:val="000000"/>
          <w:sz w:val="28"/>
          <w:szCs w:val="28"/>
        </w:rPr>
        <w:t>приймання</w:t>
      </w:r>
    </w:p>
    <w:p>
      <w:pPr>
        <w:pStyle w:val="Style22"/>
        <w:widowControl/>
        <w:spacing w:before="0" w:after="0"/>
        <w:ind w:left="0" w:right="0" w:firstLine="709"/>
        <w:jc w:val="right"/>
        <w:rPr>
          <w:b/>
          <w:b/>
          <w:i w:val="false"/>
          <w:i w:val="false"/>
          <w:iCs w:val="false"/>
          <w:color w:val="000000"/>
          <w:sz w:val="28"/>
          <w:szCs w:val="28"/>
        </w:rPr>
      </w:pPr>
      <w:r>
        <w:rPr>
          <w:b/>
          <w:i w:val="false"/>
          <w:iCs w:val="false"/>
          <w:color w:val="000000"/>
          <w:sz w:val="28"/>
          <w:szCs w:val="28"/>
        </w:rPr>
        <w:t>стічних вод до систем централізованого</w:t>
      </w:r>
    </w:p>
    <w:p>
      <w:pPr>
        <w:pStyle w:val="Normal"/>
        <w:autoSpaceDE w:val="false"/>
        <w:jc w:val="right"/>
        <w:rPr>
          <w:b/>
          <w:b/>
          <w:bCs/>
          <w:i w:val="false"/>
          <w:i w:val="false"/>
          <w:iCs w:val="false"/>
          <w:color w:val="000000"/>
          <w:sz w:val="28"/>
          <w:szCs w:val="28"/>
          <w:lang w:val="uk-UA"/>
        </w:rPr>
      </w:pPr>
      <w:r>
        <w:rPr>
          <w:b/>
          <w:bCs/>
          <w:i w:val="false"/>
          <w:iCs w:val="false"/>
          <w:color w:val="000000"/>
          <w:sz w:val="28"/>
          <w:szCs w:val="28"/>
          <w:lang w:val="uk-UA"/>
        </w:rPr>
        <w:t>водовідведення міста Тернопіль</w:t>
      </w:r>
    </w:p>
    <w:p>
      <w:pPr>
        <w:pStyle w:val="Normal"/>
        <w:jc w:val="center"/>
        <w:rPr>
          <w:sz w:val="20"/>
          <w:szCs w:val="20"/>
          <w:lang w:val="uk-UA"/>
        </w:rPr>
      </w:pPr>
      <w:r>
        <w:rPr>
          <w:sz w:val="20"/>
          <w:szCs w:val="20"/>
          <w:lang w:val="uk-UA"/>
        </w:rPr>
      </w:r>
    </w:p>
    <w:p>
      <w:pPr>
        <w:pStyle w:val="Normal"/>
        <w:jc w:val="center"/>
        <w:rPr>
          <w:sz w:val="20"/>
          <w:szCs w:val="20"/>
          <w:lang w:val="uk-UA"/>
        </w:rPr>
      </w:pPr>
      <w:r>
        <w:rPr>
          <w:sz w:val="20"/>
          <w:szCs w:val="20"/>
          <w:lang w:val="uk-UA"/>
        </w:rPr>
        <w:t>КОМУНАЛЬНЕ ПІДПРИЄМСТВО “</w:t>
      </w:r>
      <w:r>
        <w:rPr>
          <w:sz w:val="20"/>
          <w:szCs w:val="20"/>
          <w:lang w:val="uk-UA"/>
        </w:rPr>
        <w:t>ТЕРНОПІЛЬВОДОКАНАЛ</w:t>
      </w:r>
      <w:r>
        <w:rPr>
          <w:sz w:val="20"/>
          <w:szCs w:val="20"/>
          <w:lang w:val="uk-UA"/>
        </w:rPr>
        <w:t>”</w:t>
      </w:r>
    </w:p>
    <w:p>
      <w:pPr>
        <w:pStyle w:val="Normal"/>
        <w:rPr/>
      </w:pPr>
      <w:r>
        <w:rPr>
          <w:sz w:val="20"/>
          <w:szCs w:val="20"/>
          <w:lang w:val="uk-UA"/>
        </w:rPr>
        <w:t xml:space="preserve">      </w:t>
      </w:r>
      <w:r>
        <w:rPr>
          <w:sz w:val="20"/>
          <w:szCs w:val="20"/>
          <w:lang w:val="uk-UA"/>
        </w:rPr>
        <w:t>вул. Танцорова, 7</w:t>
      </w:r>
      <w:r>
        <w:rPr>
          <w:sz w:val="20"/>
          <w:szCs w:val="20"/>
          <w:lang w:val="uk-UA"/>
        </w:rPr>
        <w:t xml:space="preserve">                                                                                                                    тел. </w:t>
      </w:r>
      <w:r>
        <w:rPr>
          <w:sz w:val="20"/>
          <w:szCs w:val="20"/>
          <w:lang w:val="uk-UA"/>
        </w:rPr>
        <w:t xml:space="preserve">52 </w:t>
      </w:r>
      <w:r>
        <w:rPr>
          <w:sz w:val="20"/>
          <w:szCs w:val="20"/>
          <w:lang w:val="en-US"/>
        </w:rPr>
        <w:t>09</w:t>
      </w:r>
      <w:r>
        <w:rPr>
          <w:sz w:val="20"/>
          <w:szCs w:val="20"/>
          <w:lang w:val="uk-UA"/>
        </w:rPr>
        <w:t xml:space="preserve"> </w:t>
      </w:r>
      <w:r>
        <w:rPr>
          <w:sz w:val="20"/>
          <w:szCs w:val="20"/>
          <w:lang w:val="en-US"/>
        </w:rPr>
        <w:t>79</w:t>
      </w:r>
    </w:p>
    <w:p>
      <w:pPr>
        <w:pStyle w:val="Normal"/>
        <w:jc w:val="center"/>
        <w:rPr>
          <w:lang w:val="uk-UA"/>
        </w:rPr>
      </w:pPr>
      <w:r>
        <w:rPr>
          <w:b w:val="false"/>
          <w:bCs w:val="false"/>
          <w:i/>
          <w:lang w:val="uk-UA"/>
        </w:rPr>
        <w:t>Протокол</w:t>
      </w:r>
      <w:r>
        <w:rPr>
          <w:b/>
          <w:i/>
          <w:lang w:val="uk-UA"/>
        </w:rPr>
        <w:t xml:space="preserve">  </w:t>
      </w:r>
      <w:r>
        <w:rPr>
          <w:sz w:val="20"/>
          <w:szCs w:val="20"/>
          <w:lang w:val="uk-UA"/>
        </w:rPr>
        <w:t xml:space="preserve">№______ </w:t>
      </w:r>
    </w:p>
    <w:p>
      <w:pPr>
        <w:pStyle w:val="Normal"/>
        <w:jc w:val="center"/>
        <w:rPr>
          <w:lang w:val="uk-UA"/>
        </w:rPr>
      </w:pPr>
      <w:r>
        <w:rPr>
          <w:sz w:val="20"/>
          <w:szCs w:val="20"/>
          <w:lang w:val="uk-UA"/>
        </w:rPr>
        <w:t xml:space="preserve">вимірювань показників якісного складу </w:t>
      </w:r>
      <w:r>
        <w:rPr>
          <w:sz w:val="20"/>
          <w:szCs w:val="20"/>
          <w:lang w:val="uk-UA"/>
        </w:rPr>
        <w:t>стічних вод</w:t>
      </w:r>
      <w:r>
        <w:rPr>
          <w:sz w:val="20"/>
          <w:szCs w:val="20"/>
          <w:lang w:val="uk-UA"/>
        </w:rPr>
        <w:t xml:space="preserve"> </w:t>
      </w:r>
      <w:r>
        <w:rPr>
          <w:sz w:val="20"/>
          <w:szCs w:val="20"/>
          <w:lang w:val="uk-UA"/>
        </w:rPr>
        <w:t>від _______________ 20__ р.</w:t>
      </w:r>
    </w:p>
    <w:p>
      <w:pPr>
        <w:pStyle w:val="Normal"/>
        <w:jc w:val="center"/>
        <w:rPr>
          <w:sz w:val="20"/>
          <w:szCs w:val="20"/>
          <w:lang w:val="uk-UA"/>
        </w:rPr>
      </w:pPr>
      <w:r>
        <w:rPr>
          <w:sz w:val="20"/>
          <w:szCs w:val="20"/>
          <w:lang w:val="uk-UA"/>
        </w:rPr>
        <w:t xml:space="preserve">Відповідно до акта відбору проб №        від _______________ 20__ р. </w:t>
      </w:r>
    </w:p>
    <w:p>
      <w:pPr>
        <w:pStyle w:val="Normal"/>
        <w:rPr>
          <w:sz w:val="20"/>
          <w:szCs w:val="20"/>
          <w:lang w:val="uk-UA"/>
        </w:rPr>
      </w:pPr>
      <w:r>
        <w:rPr>
          <w:sz w:val="20"/>
          <w:szCs w:val="20"/>
          <w:lang w:val="uk-UA"/>
        </w:rPr>
        <w:t xml:space="preserve">           </w:t>
      </w:r>
    </w:p>
    <w:p>
      <w:pPr>
        <w:pStyle w:val="Normal"/>
        <w:numPr>
          <w:ilvl w:val="0"/>
          <w:numId w:val="3"/>
        </w:numPr>
        <w:rPr/>
      </w:pPr>
      <w:r>
        <w:rPr>
          <w:sz w:val="20"/>
          <w:szCs w:val="20"/>
        </w:rPr>
        <w:t>Найменування</w:t>
      </w:r>
      <w:r>
        <w:rPr>
          <w:rFonts w:ascii="Times New Roman Cyr" w:hAnsi="Times New Roman Cyr"/>
          <w:sz w:val="20"/>
          <w:szCs w:val="20"/>
        </w:rPr>
        <w:t xml:space="preserve"> </w:t>
      </w:r>
      <w:r>
        <w:rPr>
          <w:sz w:val="20"/>
          <w:szCs w:val="20"/>
        </w:rPr>
        <w:t>абонента</w:t>
      </w:r>
      <w:r>
        <w:rPr>
          <w:rFonts w:ascii="Times New Roman Cyr" w:hAnsi="Times New Roman Cyr"/>
          <w:sz w:val="20"/>
          <w:szCs w:val="20"/>
        </w:rPr>
        <w:t xml:space="preserve"> </w:t>
      </w:r>
    </w:p>
    <w:p>
      <w:pPr>
        <w:pStyle w:val="Normal"/>
        <w:numPr>
          <w:ilvl w:val="0"/>
          <w:numId w:val="5"/>
        </w:numPr>
        <w:rPr>
          <w:sz w:val="20"/>
          <w:szCs w:val="20"/>
        </w:rPr>
      </w:pPr>
      <w:r>
        <w:rPr>
          <w:sz w:val="20"/>
          <w:szCs w:val="20"/>
        </w:rPr>
        <w:t>Місце</w:t>
      </w:r>
      <w:r>
        <w:rPr>
          <w:rFonts w:ascii="Times New Roman Cyr" w:hAnsi="Times New Roman Cyr"/>
          <w:sz w:val="20"/>
          <w:szCs w:val="20"/>
        </w:rPr>
        <w:t xml:space="preserve"> </w:t>
      </w:r>
      <w:r>
        <w:rPr>
          <w:sz w:val="20"/>
          <w:szCs w:val="20"/>
        </w:rPr>
        <w:t>відбору</w:t>
      </w:r>
      <w:r>
        <w:rPr>
          <w:rFonts w:ascii="Times New Roman Cyr" w:hAnsi="Times New Roman Cyr"/>
          <w:sz w:val="20"/>
          <w:szCs w:val="20"/>
        </w:rPr>
        <w:t xml:space="preserve"> </w:t>
      </w:r>
      <w:r>
        <w:rPr>
          <w:sz w:val="20"/>
          <w:szCs w:val="20"/>
        </w:rPr>
        <w:t>проби</w:t>
      </w:r>
    </w:p>
    <w:p>
      <w:pPr>
        <w:pStyle w:val="Normal"/>
        <w:numPr>
          <w:ilvl w:val="0"/>
          <w:numId w:val="5"/>
        </w:numPr>
        <w:rPr>
          <w:sz w:val="20"/>
          <w:szCs w:val="20"/>
        </w:rPr>
      </w:pPr>
      <w:r>
        <w:rPr>
          <w:sz w:val="20"/>
          <w:szCs w:val="20"/>
        </w:rPr>
        <w:t>Колір</w:t>
      </w:r>
      <w:r>
        <w:rPr>
          <w:rFonts w:ascii="Times New Roman Cyr" w:hAnsi="Times New Roman Cyr"/>
          <w:sz w:val="20"/>
          <w:szCs w:val="20"/>
        </w:rPr>
        <w:t xml:space="preserve"> (</w:t>
      </w:r>
      <w:r>
        <w:rPr>
          <w:sz w:val="20"/>
          <w:szCs w:val="20"/>
        </w:rPr>
        <w:t>опис</w:t>
      </w:r>
      <w:r>
        <w:rPr>
          <w:rFonts w:ascii="Times New Roman Cyr" w:hAnsi="Times New Roman Cyr"/>
          <w:sz w:val="20"/>
          <w:szCs w:val="20"/>
        </w:rPr>
        <w:t>)</w:t>
      </w:r>
    </w:p>
    <w:p>
      <w:pPr>
        <w:pStyle w:val="Normal"/>
        <w:numPr>
          <w:ilvl w:val="0"/>
          <w:numId w:val="5"/>
        </w:numPr>
        <w:rPr>
          <w:sz w:val="20"/>
          <w:szCs w:val="20"/>
        </w:rPr>
      </w:pPr>
      <w:r>
        <w:rPr>
          <w:sz w:val="20"/>
          <w:szCs w:val="20"/>
        </w:rPr>
        <w:t>Запах</w:t>
      </w:r>
    </w:p>
    <w:p>
      <w:pPr>
        <w:pStyle w:val="Normal"/>
        <w:numPr>
          <w:ilvl w:val="0"/>
          <w:numId w:val="5"/>
        </w:numPr>
        <w:rPr>
          <w:sz w:val="20"/>
          <w:szCs w:val="20"/>
        </w:rPr>
      </w:pPr>
      <w:r>
        <w:rPr>
          <w:sz w:val="20"/>
          <w:szCs w:val="20"/>
        </w:rPr>
        <w:t>Плаваючі</w:t>
      </w:r>
      <w:r>
        <w:rPr>
          <w:rFonts w:ascii="Times New Roman Cyr" w:hAnsi="Times New Roman Cyr"/>
          <w:sz w:val="20"/>
          <w:szCs w:val="20"/>
        </w:rPr>
        <w:t xml:space="preserve"> </w:t>
      </w:r>
      <w:r>
        <w:rPr>
          <w:sz w:val="20"/>
          <w:szCs w:val="20"/>
        </w:rPr>
        <w:t>домішки</w:t>
      </w:r>
    </w:p>
    <w:p>
      <w:pPr>
        <w:pStyle w:val="Normal"/>
        <w:rPr>
          <w:bCs/>
          <w:i/>
          <w:i/>
          <w:iCs/>
          <w:color w:val="000000"/>
          <w:sz w:val="20"/>
          <w:szCs w:val="20"/>
          <w:lang w:val="uk-UA"/>
        </w:rPr>
      </w:pPr>
      <w:r>
        <w:rPr>
          <w:bCs/>
          <w:i/>
          <w:iCs/>
          <w:color w:val="000000"/>
          <w:sz w:val="20"/>
          <w:szCs w:val="20"/>
          <w:lang w:val="uk-UA"/>
        </w:rPr>
      </w:r>
    </w:p>
    <w:tbl>
      <w:tblPr>
        <w:tblW w:w="10140" w:type="dxa"/>
        <w:jc w:val="left"/>
        <w:tblInd w:w="-159"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Pr>
      <w:tblGrid>
        <w:gridCol w:w="2214"/>
        <w:gridCol w:w="1070"/>
        <w:gridCol w:w="1650"/>
        <w:gridCol w:w="2131"/>
        <w:gridCol w:w="3075"/>
      </w:tblGrid>
      <w:tr>
        <w:trPr/>
        <w:tc>
          <w:tcPr>
            <w:tcW w:w="2214" w:type="dxa"/>
            <w:tcBorders>
              <w:top w:val="single" w:sz="2" w:space="0" w:color="000000"/>
              <w:left w:val="single" w:sz="2" w:space="0" w:color="000000"/>
              <w:bottom w:val="single" w:sz="2" w:space="0" w:color="000000"/>
              <w:insideH w:val="single" w:sz="2" w:space="0" w:color="000000"/>
            </w:tcBorders>
            <w:shd w:fill="auto" w:val="clear"/>
            <w:vAlign w:val="center"/>
          </w:tcPr>
          <w:p>
            <w:pPr>
              <w:pStyle w:val="Normal"/>
              <w:spacing w:before="0" w:after="0"/>
              <w:jc w:val="center"/>
              <w:rPr>
                <w:sz w:val="20"/>
                <w:szCs w:val="20"/>
              </w:rPr>
            </w:pPr>
            <w:r>
              <w:rPr>
                <w:sz w:val="20"/>
                <w:szCs w:val="20"/>
                <w:lang w:val="uk-UA"/>
              </w:rPr>
              <w:t>Найменування</w:t>
            </w:r>
            <w:r>
              <w:rPr>
                <w:rFonts w:ascii="Times New Roman Cyr" w:hAnsi="Times New Roman Cyr"/>
                <w:sz w:val="20"/>
                <w:szCs w:val="20"/>
                <w:lang w:val="uk-UA"/>
              </w:rPr>
              <w:t xml:space="preserve"> </w:t>
            </w:r>
            <w:r>
              <w:rPr>
                <w:sz w:val="20"/>
                <w:szCs w:val="20"/>
                <w:lang w:val="uk-UA"/>
              </w:rPr>
              <w:t>показників</w:t>
            </w:r>
          </w:p>
        </w:tc>
        <w:tc>
          <w:tcPr>
            <w:tcW w:w="1070" w:type="dxa"/>
            <w:tcBorders>
              <w:top w:val="single" w:sz="2" w:space="0" w:color="000000"/>
              <w:left w:val="single" w:sz="2" w:space="0" w:color="000000"/>
              <w:bottom w:val="single" w:sz="2" w:space="0" w:color="000000"/>
              <w:insideH w:val="single" w:sz="2" w:space="0" w:color="000000"/>
            </w:tcBorders>
            <w:shd w:fill="auto" w:val="clear"/>
            <w:vAlign w:val="center"/>
          </w:tcPr>
          <w:p>
            <w:pPr>
              <w:pStyle w:val="Normal"/>
              <w:spacing w:before="0" w:after="0"/>
              <w:jc w:val="center"/>
              <w:rPr>
                <w:sz w:val="20"/>
                <w:szCs w:val="20"/>
                <w:lang w:val="uk-UA"/>
              </w:rPr>
            </w:pPr>
            <w:r>
              <w:rPr>
                <w:sz w:val="20"/>
                <w:szCs w:val="20"/>
                <w:lang w:val="uk-UA"/>
              </w:rPr>
              <w:t>Норма</w:t>
            </w:r>
          </w:p>
        </w:tc>
        <w:tc>
          <w:tcPr>
            <w:tcW w:w="1650" w:type="dxa"/>
            <w:tcBorders>
              <w:top w:val="single" w:sz="2" w:space="0" w:color="000000"/>
              <w:left w:val="single" w:sz="2" w:space="0" w:color="000000"/>
              <w:bottom w:val="single" w:sz="2" w:space="0" w:color="000000"/>
              <w:insideH w:val="single" w:sz="2" w:space="0" w:color="000000"/>
            </w:tcBorders>
            <w:shd w:fill="auto" w:val="clear"/>
            <w:vAlign w:val="center"/>
          </w:tcPr>
          <w:p>
            <w:pPr>
              <w:pStyle w:val="Normal"/>
              <w:spacing w:before="0" w:after="0"/>
              <w:jc w:val="center"/>
              <w:rPr>
                <w:sz w:val="20"/>
                <w:szCs w:val="20"/>
              </w:rPr>
            </w:pPr>
            <w:r>
              <w:rPr>
                <w:sz w:val="20"/>
                <w:szCs w:val="20"/>
                <w:lang w:val="uk-UA"/>
              </w:rPr>
              <w:t>мг</w:t>
            </w:r>
            <w:r>
              <w:rPr>
                <w:rFonts w:ascii="Times New Roman Cyr" w:hAnsi="Times New Roman Cyr"/>
                <w:sz w:val="20"/>
                <w:szCs w:val="20"/>
                <w:lang w:val="uk-UA"/>
              </w:rPr>
              <w:t>/</w:t>
            </w:r>
            <w:r>
              <w:rPr>
                <w:sz w:val="20"/>
                <w:szCs w:val="20"/>
                <w:lang w:val="uk-UA"/>
              </w:rPr>
              <w:t>л</w:t>
            </w:r>
          </w:p>
        </w:tc>
        <w:tc>
          <w:tcPr>
            <w:tcW w:w="2131" w:type="dxa"/>
            <w:tcBorders>
              <w:top w:val="single" w:sz="2" w:space="0" w:color="000000"/>
              <w:left w:val="single" w:sz="2" w:space="0" w:color="000000"/>
              <w:bottom w:val="single" w:sz="2" w:space="0" w:color="000000"/>
              <w:insideH w:val="single" w:sz="2" w:space="0" w:color="000000"/>
            </w:tcBorders>
            <w:shd w:fill="auto" w:val="clear"/>
            <w:vAlign w:val="center"/>
          </w:tcPr>
          <w:p>
            <w:pPr>
              <w:pStyle w:val="Normal"/>
              <w:spacing w:before="0" w:after="0"/>
              <w:jc w:val="center"/>
              <w:rPr>
                <w:sz w:val="20"/>
                <w:szCs w:val="20"/>
                <w:lang w:val="uk-UA"/>
              </w:rPr>
            </w:pPr>
            <w:r>
              <w:rPr>
                <w:sz w:val="20"/>
                <w:szCs w:val="20"/>
                <w:lang w:val="uk-UA"/>
              </w:rPr>
            </w:r>
          </w:p>
        </w:tc>
        <w:tc>
          <w:tcPr>
            <w:tcW w:w="307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Normal"/>
              <w:spacing w:before="0" w:after="0"/>
              <w:jc w:val="center"/>
              <w:rPr>
                <w:sz w:val="20"/>
                <w:szCs w:val="20"/>
                <w:lang w:val="uk-UA"/>
              </w:rPr>
            </w:pPr>
            <w:r>
              <w:rPr>
                <w:sz w:val="20"/>
                <w:szCs w:val="20"/>
                <w:lang w:val="uk-UA"/>
              </w:rPr>
              <w:t>Шрифт методики</w:t>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t>Темперратура</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sz w:val="20"/>
                <w:szCs w:val="20"/>
              </w:rPr>
            </w:pPr>
            <w:r>
              <w:rPr>
                <w:rFonts w:ascii="Tahoma" w:hAnsi="Tahoma"/>
                <w:sz w:val="20"/>
                <w:szCs w:val="20"/>
              </w:rPr>
              <w:t>&lt;</w:t>
            </w:r>
            <w:r>
              <w:rPr>
                <w:rFonts w:ascii="Times New Roman Cyr" w:hAnsi="Times New Roman Cyr"/>
                <w:sz w:val="20"/>
                <w:szCs w:val="20"/>
                <w:lang w:val="uk-UA"/>
              </w:rPr>
              <w:t>40</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lang w:val="uk-UA"/>
              </w:rPr>
            </w:pPr>
            <w:r>
              <w:rPr>
                <w:sz w:val="20"/>
                <w:szCs w:val="20"/>
                <w:lang w:val="uk-UA"/>
              </w:rPr>
            </w:r>
          </w:p>
        </w:tc>
        <w:tc>
          <w:tcPr>
            <w:tcW w:w="2131"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before="0" w:after="0"/>
              <w:jc w:val="left"/>
              <w:rPr>
                <w:sz w:val="20"/>
                <w:szCs w:val="20"/>
                <w:lang w:val="uk-UA"/>
              </w:rPr>
            </w:pPr>
            <w:r>
              <w:rPr>
                <w:sz w:val="20"/>
                <w:szCs w:val="20"/>
                <w:lang w:val="uk-UA"/>
              </w:rPr>
              <w:t xml:space="preserve">МВВ </w:t>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rPr>
            </w:pPr>
            <w:r>
              <w:rPr>
                <w:sz w:val="20"/>
                <w:szCs w:val="20"/>
                <w:lang w:val="uk-UA"/>
              </w:rPr>
              <w:t>Завислі</w:t>
            </w:r>
            <w:r>
              <w:rPr>
                <w:rFonts w:ascii="Times New Roman Cyr" w:hAnsi="Times New Roman Cyr"/>
                <w:sz w:val="20"/>
                <w:szCs w:val="20"/>
                <w:lang w:val="uk-UA"/>
              </w:rPr>
              <w:t xml:space="preserve"> </w:t>
            </w:r>
            <w:r>
              <w:rPr>
                <w:sz w:val="20"/>
                <w:szCs w:val="20"/>
                <w:lang w:val="uk-UA"/>
              </w:rPr>
              <w:t>речовини</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300</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before="0" w:after="0"/>
              <w:jc w:val="left"/>
              <w:rPr>
                <w:sz w:val="20"/>
                <w:szCs w:val="20"/>
                <w:lang w:val="uk-UA"/>
              </w:rPr>
            </w:pPr>
            <w:r>
              <w:rPr>
                <w:sz w:val="20"/>
                <w:szCs w:val="20"/>
                <w:lang w:val="uk-UA"/>
              </w:rPr>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rPr>
            </w:pPr>
            <w:r>
              <w:rPr>
                <w:sz w:val="20"/>
                <w:szCs w:val="20"/>
                <w:lang w:val="uk-UA"/>
              </w:rPr>
              <w:t>Реакція</w:t>
            </w:r>
            <w:r>
              <w:rPr>
                <w:rFonts w:ascii="Times New Roman Cyr" w:hAnsi="Times New Roman Cyr"/>
                <w:sz w:val="20"/>
                <w:szCs w:val="20"/>
                <w:lang w:val="uk-UA"/>
              </w:rPr>
              <w:t xml:space="preserve"> </w:t>
            </w:r>
            <w:r>
              <w:rPr>
                <w:sz w:val="20"/>
                <w:szCs w:val="20"/>
                <w:lang w:val="uk-UA"/>
              </w:rPr>
              <w:t>середовища</w:t>
            </w:r>
            <w:r>
              <w:rPr>
                <w:rFonts w:ascii="Times New Roman Cyr" w:hAnsi="Times New Roman Cyr"/>
                <w:sz w:val="20"/>
                <w:szCs w:val="20"/>
                <w:lang w:val="uk-UA"/>
              </w:rPr>
              <w:t xml:space="preserve"> (</w:t>
            </w:r>
            <w:r>
              <w:rPr>
                <w:sz w:val="20"/>
                <w:szCs w:val="20"/>
                <w:lang w:val="uk-UA"/>
              </w:rPr>
              <w:t>рН</w:t>
            </w:r>
            <w:r>
              <w:rPr>
                <w:rFonts w:ascii="Times New Roman Cyr" w:hAnsi="Times New Roman Cyr"/>
                <w:sz w:val="20"/>
                <w:szCs w:val="20"/>
                <w:lang w:val="uk-UA"/>
              </w:rPr>
              <w:t>)</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6,5-9,0</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before="0" w:after="0"/>
              <w:jc w:val="left"/>
              <w:rPr>
                <w:sz w:val="20"/>
                <w:szCs w:val="20"/>
                <w:lang w:val="uk-UA"/>
              </w:rPr>
            </w:pPr>
            <w:r>
              <w:rPr>
                <w:sz w:val="20"/>
                <w:szCs w:val="20"/>
                <w:lang w:val="uk-UA"/>
              </w:rPr>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rPr>
            </w:pPr>
            <w:r>
              <w:rPr>
                <w:sz w:val="20"/>
                <w:szCs w:val="20"/>
                <w:lang w:val="uk-UA"/>
              </w:rPr>
              <w:t>БСК</w:t>
            </w:r>
            <w:r>
              <w:rPr>
                <w:rFonts w:ascii="Times New Roman Cyr" w:hAnsi="Times New Roman Cyr"/>
                <w:sz w:val="20"/>
                <w:szCs w:val="20"/>
                <w:vertAlign w:val="subscript"/>
                <w:lang w:val="uk-UA"/>
              </w:rPr>
              <w:t>5</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334</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before="0" w:after="0"/>
              <w:jc w:val="left"/>
              <w:rPr>
                <w:sz w:val="20"/>
                <w:szCs w:val="20"/>
                <w:lang w:val="uk-UA"/>
              </w:rPr>
            </w:pPr>
            <w:r>
              <w:rPr>
                <w:sz w:val="20"/>
                <w:szCs w:val="20"/>
                <w:lang w:val="uk-UA"/>
              </w:rPr>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t>ХСК</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700,0</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before="0" w:after="0"/>
              <w:jc w:val="left"/>
              <w:rPr>
                <w:sz w:val="20"/>
                <w:szCs w:val="20"/>
                <w:lang w:val="uk-UA"/>
              </w:rPr>
            </w:pPr>
            <w:r>
              <w:rPr>
                <w:sz w:val="20"/>
                <w:szCs w:val="20"/>
                <w:lang w:val="uk-UA"/>
              </w:rPr>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t>Хлориди</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350,0</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before="0" w:after="0"/>
              <w:jc w:val="left"/>
              <w:rPr>
                <w:sz w:val="20"/>
                <w:szCs w:val="20"/>
                <w:lang w:val="uk-UA"/>
              </w:rPr>
            </w:pPr>
            <w:r>
              <w:rPr>
                <w:sz w:val="20"/>
                <w:szCs w:val="20"/>
                <w:lang w:val="uk-UA"/>
              </w:rPr>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t>Сульфати</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400,0</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Style26"/>
              <w:spacing w:before="0" w:after="0"/>
              <w:jc w:val="left"/>
              <w:rPr>
                <w:sz w:val="20"/>
                <w:szCs w:val="20"/>
              </w:rPr>
            </w:pPr>
            <w:r>
              <w:rPr>
                <w:sz w:val="20"/>
                <w:szCs w:val="20"/>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spacing w:before="0" w:after="0"/>
              <w:jc w:val="left"/>
              <w:rPr>
                <w:sz w:val="20"/>
                <w:szCs w:val="20"/>
              </w:rPr>
            </w:pPr>
            <w:r>
              <w:rPr>
                <w:sz w:val="20"/>
                <w:szCs w:val="20"/>
              </w:rPr>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t>Сульфіди</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Style26"/>
              <w:spacing w:before="0" w:after="0"/>
              <w:jc w:val="left"/>
              <w:rPr>
                <w:sz w:val="20"/>
                <w:szCs w:val="20"/>
              </w:rPr>
            </w:pPr>
            <w:r>
              <w:rPr>
                <w:sz w:val="20"/>
                <w:szCs w:val="20"/>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spacing w:before="0" w:after="0"/>
              <w:jc w:val="left"/>
              <w:rPr>
                <w:sz w:val="20"/>
                <w:szCs w:val="20"/>
              </w:rPr>
            </w:pPr>
            <w:r>
              <w:rPr>
                <w:sz w:val="20"/>
                <w:szCs w:val="20"/>
              </w:rPr>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t>Фосфати</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5,0</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Style26"/>
              <w:spacing w:before="0" w:after="0"/>
              <w:jc w:val="left"/>
              <w:rPr>
                <w:sz w:val="20"/>
                <w:szCs w:val="20"/>
              </w:rPr>
            </w:pPr>
            <w:r>
              <w:rPr>
                <w:sz w:val="20"/>
                <w:szCs w:val="20"/>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spacing w:before="0" w:after="0"/>
              <w:jc w:val="left"/>
              <w:rPr>
                <w:sz w:val="20"/>
                <w:szCs w:val="20"/>
              </w:rPr>
            </w:pPr>
            <w:r>
              <w:rPr>
                <w:sz w:val="20"/>
                <w:szCs w:val="20"/>
              </w:rPr>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rPr>
            </w:pPr>
            <w:r>
              <w:rPr>
                <w:sz w:val="20"/>
                <w:szCs w:val="20"/>
                <w:lang w:val="uk-UA"/>
              </w:rPr>
              <w:t>Азот</w:t>
            </w:r>
            <w:r>
              <w:rPr>
                <w:rFonts w:ascii="Times New Roman Cyr" w:hAnsi="Times New Roman Cyr"/>
                <w:sz w:val="20"/>
                <w:szCs w:val="20"/>
                <w:lang w:val="uk-UA"/>
              </w:rPr>
              <w:t xml:space="preserve"> </w:t>
            </w:r>
            <w:r>
              <w:rPr>
                <w:sz w:val="20"/>
                <w:szCs w:val="20"/>
                <w:lang w:val="uk-UA"/>
              </w:rPr>
              <w:t>амонійний</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13,8</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Normal"/>
              <w:spacing w:before="0" w:after="0"/>
              <w:jc w:val="left"/>
              <w:rPr>
                <w:rFonts w:ascii="Times New Roman Cyr" w:hAnsi="Times New Roman Cyr"/>
                <w:b/>
                <w:b/>
                <w:sz w:val="20"/>
                <w:szCs w:val="20"/>
                <w:lang w:val="uk-UA"/>
              </w:rPr>
            </w:pPr>
            <w:r>
              <w:rPr>
                <w:rFonts w:ascii="Times New Roman Cyr" w:hAnsi="Times New Roman Cyr"/>
                <w:b/>
                <w:sz w:val="20"/>
                <w:szCs w:val="20"/>
                <w:lang w:val="uk-UA"/>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before="0" w:after="0"/>
              <w:jc w:val="left"/>
              <w:rPr>
                <w:rFonts w:ascii="Times New Roman Cyr" w:hAnsi="Times New Roman Cyr"/>
                <w:b/>
                <w:b/>
                <w:sz w:val="20"/>
                <w:szCs w:val="20"/>
                <w:lang w:val="uk-UA"/>
              </w:rPr>
            </w:pPr>
            <w:r>
              <w:rPr>
                <w:rFonts w:ascii="Times New Roman Cyr" w:hAnsi="Times New Roman Cyr"/>
                <w:b/>
                <w:sz w:val="20"/>
                <w:szCs w:val="20"/>
                <w:lang w:val="uk-UA"/>
              </w:rPr>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t>Нітрити</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1,0</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Style26"/>
              <w:spacing w:before="0" w:after="0"/>
              <w:jc w:val="left"/>
              <w:rPr>
                <w:sz w:val="20"/>
                <w:szCs w:val="20"/>
              </w:rPr>
            </w:pPr>
            <w:r>
              <w:rPr>
                <w:sz w:val="20"/>
                <w:szCs w:val="20"/>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spacing w:before="0" w:after="0"/>
              <w:jc w:val="left"/>
              <w:rPr>
                <w:sz w:val="20"/>
                <w:szCs w:val="20"/>
              </w:rPr>
            </w:pPr>
            <w:r>
              <w:rPr>
                <w:sz w:val="20"/>
                <w:szCs w:val="20"/>
              </w:rPr>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t>Нітрати</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6,0</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Style26"/>
              <w:spacing w:before="0" w:after="0"/>
              <w:jc w:val="left"/>
              <w:rPr>
                <w:sz w:val="20"/>
                <w:szCs w:val="20"/>
              </w:rPr>
            </w:pPr>
            <w:r>
              <w:rPr>
                <w:sz w:val="20"/>
                <w:szCs w:val="20"/>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spacing w:before="0" w:after="0"/>
              <w:jc w:val="left"/>
              <w:rPr>
                <w:sz w:val="20"/>
                <w:szCs w:val="20"/>
              </w:rPr>
            </w:pPr>
            <w:r>
              <w:rPr>
                <w:sz w:val="20"/>
                <w:szCs w:val="20"/>
              </w:rPr>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rPr>
            </w:pPr>
            <w:r>
              <w:rPr>
                <w:sz w:val="20"/>
                <w:szCs w:val="20"/>
                <w:lang w:val="uk-UA"/>
              </w:rPr>
              <w:t>Нафта</w:t>
            </w:r>
            <w:r>
              <w:rPr>
                <w:rFonts w:ascii="Times New Roman Cyr" w:hAnsi="Times New Roman Cyr"/>
                <w:sz w:val="20"/>
                <w:szCs w:val="20"/>
                <w:lang w:val="uk-UA"/>
              </w:rPr>
              <w:t xml:space="preserve"> </w:t>
            </w:r>
            <w:r>
              <w:rPr>
                <w:sz w:val="20"/>
                <w:szCs w:val="20"/>
                <w:lang w:val="uk-UA"/>
              </w:rPr>
              <w:t>і</w:t>
            </w:r>
            <w:r>
              <w:rPr>
                <w:rFonts w:ascii="Times New Roman Cyr" w:hAnsi="Times New Roman Cyr"/>
                <w:sz w:val="20"/>
                <w:szCs w:val="20"/>
                <w:lang w:val="uk-UA"/>
              </w:rPr>
              <w:t xml:space="preserve"> </w:t>
            </w:r>
            <w:r>
              <w:rPr>
                <w:sz w:val="20"/>
                <w:szCs w:val="20"/>
                <w:lang w:val="uk-UA"/>
              </w:rPr>
              <w:t>нафтопродукти</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2,0</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Style26"/>
              <w:spacing w:before="0" w:after="0"/>
              <w:jc w:val="left"/>
              <w:rPr>
                <w:sz w:val="20"/>
                <w:szCs w:val="20"/>
              </w:rPr>
            </w:pPr>
            <w:r>
              <w:rPr>
                <w:sz w:val="20"/>
                <w:szCs w:val="20"/>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spacing w:before="0" w:after="0"/>
              <w:jc w:val="left"/>
              <w:rPr>
                <w:sz w:val="20"/>
                <w:szCs w:val="20"/>
              </w:rPr>
            </w:pPr>
            <w:r>
              <w:rPr>
                <w:sz w:val="20"/>
                <w:szCs w:val="20"/>
              </w:rPr>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t>СПАР</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0,33</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Style26"/>
              <w:spacing w:before="0" w:after="0"/>
              <w:jc w:val="left"/>
              <w:rPr>
                <w:sz w:val="20"/>
                <w:szCs w:val="20"/>
              </w:rPr>
            </w:pPr>
            <w:r>
              <w:rPr>
                <w:sz w:val="20"/>
                <w:szCs w:val="20"/>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spacing w:before="0" w:after="0"/>
              <w:jc w:val="left"/>
              <w:rPr>
                <w:sz w:val="20"/>
                <w:szCs w:val="20"/>
              </w:rPr>
            </w:pPr>
            <w:r>
              <w:rPr>
                <w:sz w:val="20"/>
                <w:szCs w:val="20"/>
              </w:rPr>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rPr>
            </w:pPr>
            <w:r>
              <w:rPr>
                <w:sz w:val="20"/>
                <w:szCs w:val="20"/>
                <w:lang w:val="uk-UA"/>
              </w:rPr>
              <w:t>Залізо</w:t>
            </w:r>
            <w:r>
              <w:rPr>
                <w:rFonts w:ascii="Times New Roman Cyr" w:hAnsi="Times New Roman Cyr"/>
                <w:sz w:val="20"/>
                <w:szCs w:val="20"/>
                <w:lang w:val="uk-UA"/>
              </w:rPr>
              <w:t xml:space="preserve"> </w:t>
            </w:r>
            <w:r>
              <w:rPr>
                <w:sz w:val="20"/>
                <w:szCs w:val="20"/>
                <w:lang w:val="uk-UA"/>
              </w:rPr>
              <w:t>загальне</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1,53</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Style26"/>
              <w:spacing w:before="0" w:after="0"/>
              <w:jc w:val="left"/>
              <w:rPr>
                <w:sz w:val="20"/>
                <w:szCs w:val="20"/>
              </w:rPr>
            </w:pPr>
            <w:r>
              <w:rPr>
                <w:sz w:val="20"/>
                <w:szCs w:val="20"/>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spacing w:before="0" w:after="0"/>
              <w:jc w:val="left"/>
              <w:rPr>
                <w:sz w:val="20"/>
                <w:szCs w:val="20"/>
              </w:rPr>
            </w:pPr>
            <w:r>
              <w:rPr>
                <w:sz w:val="20"/>
                <w:szCs w:val="20"/>
              </w:rPr>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rPr>
            </w:pPr>
            <w:r>
              <w:rPr>
                <w:sz w:val="20"/>
                <w:szCs w:val="20"/>
                <w:lang w:val="uk-UA"/>
              </w:rPr>
              <w:t>Хром</w:t>
            </w:r>
            <w:r>
              <w:rPr>
                <w:rFonts w:ascii="Times New Roman Cyr" w:hAnsi="Times New Roman Cyr"/>
                <w:sz w:val="20"/>
                <w:szCs w:val="20"/>
                <w:lang w:val="uk-UA"/>
              </w:rPr>
              <w:t xml:space="preserve"> </w:t>
            </w:r>
            <w:r>
              <w:rPr>
                <w:sz w:val="20"/>
                <w:szCs w:val="20"/>
                <w:lang w:val="uk-UA"/>
              </w:rPr>
              <w:t>загальний</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3,7</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Style26"/>
              <w:spacing w:before="0" w:after="0"/>
              <w:jc w:val="left"/>
              <w:rPr>
                <w:sz w:val="20"/>
                <w:szCs w:val="20"/>
              </w:rPr>
            </w:pPr>
            <w:r>
              <w:rPr>
                <w:sz w:val="20"/>
                <w:szCs w:val="20"/>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spacing w:before="0" w:after="0"/>
              <w:jc w:val="left"/>
              <w:rPr>
                <w:sz w:val="20"/>
                <w:szCs w:val="20"/>
              </w:rPr>
            </w:pPr>
            <w:r>
              <w:rPr>
                <w:sz w:val="20"/>
                <w:szCs w:val="20"/>
              </w:rPr>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t>Цинк</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0,45</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Style26"/>
              <w:spacing w:before="0" w:after="0"/>
              <w:jc w:val="left"/>
              <w:rPr>
                <w:sz w:val="20"/>
                <w:szCs w:val="20"/>
              </w:rPr>
            </w:pPr>
            <w:r>
              <w:rPr>
                <w:sz w:val="20"/>
                <w:szCs w:val="20"/>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spacing w:before="0" w:after="0"/>
              <w:jc w:val="left"/>
              <w:rPr>
                <w:sz w:val="20"/>
                <w:szCs w:val="20"/>
              </w:rPr>
            </w:pPr>
            <w:r>
              <w:rPr>
                <w:sz w:val="20"/>
                <w:szCs w:val="20"/>
              </w:rPr>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t>Нікель</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0,78</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Style26"/>
              <w:spacing w:before="0" w:after="0"/>
              <w:jc w:val="left"/>
              <w:rPr>
                <w:sz w:val="20"/>
                <w:szCs w:val="20"/>
              </w:rPr>
            </w:pPr>
            <w:r>
              <w:rPr>
                <w:sz w:val="20"/>
                <w:szCs w:val="20"/>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spacing w:before="0" w:after="0"/>
              <w:jc w:val="left"/>
              <w:rPr>
                <w:sz w:val="20"/>
                <w:szCs w:val="20"/>
              </w:rPr>
            </w:pPr>
            <w:r>
              <w:rPr>
                <w:sz w:val="20"/>
                <w:szCs w:val="20"/>
              </w:rPr>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t>Мідь</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0,65</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Style26"/>
              <w:spacing w:before="0" w:after="0"/>
              <w:jc w:val="left"/>
              <w:rPr>
                <w:sz w:val="20"/>
                <w:szCs w:val="20"/>
              </w:rPr>
            </w:pPr>
            <w:r>
              <w:rPr>
                <w:sz w:val="20"/>
                <w:szCs w:val="20"/>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spacing w:before="0" w:after="0"/>
              <w:jc w:val="left"/>
              <w:rPr>
                <w:sz w:val="20"/>
                <w:szCs w:val="20"/>
              </w:rPr>
            </w:pPr>
            <w:r>
              <w:rPr>
                <w:sz w:val="20"/>
                <w:szCs w:val="20"/>
              </w:rPr>
            </w:r>
          </w:p>
        </w:tc>
      </w:tr>
      <w:tr>
        <w:trPr/>
        <w:tc>
          <w:tcPr>
            <w:tcW w:w="2214" w:type="dxa"/>
            <w:tcBorders>
              <w:left w:val="single" w:sz="2" w:space="0" w:color="000000"/>
              <w:bottom w:val="single" w:sz="2" w:space="0" w:color="000000"/>
              <w:insideH w:val="single" w:sz="2" w:space="0" w:color="000000"/>
            </w:tcBorders>
            <w:shd w:fill="auto" w:val="clear"/>
          </w:tcPr>
          <w:p>
            <w:pPr>
              <w:pStyle w:val="Normal"/>
              <w:spacing w:before="0" w:after="0"/>
              <w:jc w:val="left"/>
              <w:rPr>
                <w:sz w:val="20"/>
                <w:szCs w:val="20"/>
                <w:lang w:val="uk-UA"/>
              </w:rPr>
            </w:pPr>
            <w:r>
              <w:rPr>
                <w:sz w:val="20"/>
                <w:szCs w:val="20"/>
                <w:lang w:val="uk-UA"/>
              </w:rPr>
              <w:t>Феноли</w:t>
            </w:r>
          </w:p>
        </w:tc>
        <w:tc>
          <w:tcPr>
            <w:tcW w:w="1070" w:type="dxa"/>
            <w:tcBorders>
              <w:left w:val="single" w:sz="2" w:space="0" w:color="000000"/>
              <w:bottom w:val="single" w:sz="2" w:space="0" w:color="000000"/>
              <w:insideH w:val="single" w:sz="2" w:space="0" w:color="000000"/>
            </w:tcBorders>
            <w:shd w:fill="auto" w:val="clear"/>
          </w:tcPr>
          <w:p>
            <w:pPr>
              <w:pStyle w:val="Normal"/>
              <w:spacing w:before="0" w:after="0"/>
              <w:jc w:val="center"/>
              <w:rPr>
                <w:rFonts w:ascii="Times New Roman Cyr" w:hAnsi="Times New Roman Cyr"/>
                <w:sz w:val="20"/>
                <w:szCs w:val="20"/>
                <w:lang w:val="uk-UA"/>
              </w:rPr>
            </w:pPr>
            <w:r>
              <w:rPr>
                <w:rFonts w:ascii="Times New Roman Cyr" w:hAnsi="Times New Roman Cyr"/>
                <w:sz w:val="20"/>
                <w:szCs w:val="20"/>
                <w:lang w:val="uk-UA"/>
              </w:rPr>
              <w:t>0,082</w:t>
            </w:r>
          </w:p>
        </w:tc>
        <w:tc>
          <w:tcPr>
            <w:tcW w:w="1650" w:type="dxa"/>
            <w:tcBorders>
              <w:left w:val="single" w:sz="2" w:space="0" w:color="000000"/>
              <w:bottom w:val="single" w:sz="2" w:space="0" w:color="000000"/>
              <w:insideH w:val="single" w:sz="2" w:space="0" w:color="000000"/>
            </w:tcBorders>
            <w:shd w:fill="auto" w:val="clear"/>
          </w:tcPr>
          <w:p>
            <w:pPr>
              <w:pStyle w:val="Style26"/>
              <w:spacing w:before="0" w:after="0"/>
              <w:rPr>
                <w:sz w:val="20"/>
                <w:szCs w:val="20"/>
              </w:rPr>
            </w:pPr>
            <w:r>
              <w:rPr>
                <w:sz w:val="20"/>
                <w:szCs w:val="20"/>
              </w:rPr>
            </w:r>
          </w:p>
        </w:tc>
        <w:tc>
          <w:tcPr>
            <w:tcW w:w="2131" w:type="dxa"/>
            <w:tcBorders>
              <w:left w:val="single" w:sz="2" w:space="0" w:color="000000"/>
              <w:bottom w:val="single" w:sz="2" w:space="0" w:color="000000"/>
              <w:insideH w:val="single" w:sz="2" w:space="0" w:color="000000"/>
            </w:tcBorders>
            <w:shd w:fill="auto" w:val="clear"/>
          </w:tcPr>
          <w:p>
            <w:pPr>
              <w:pStyle w:val="Style26"/>
              <w:spacing w:before="0" w:after="0"/>
              <w:jc w:val="left"/>
              <w:rPr>
                <w:sz w:val="20"/>
                <w:szCs w:val="20"/>
              </w:rPr>
            </w:pPr>
            <w:r>
              <w:rPr>
                <w:sz w:val="20"/>
                <w:szCs w:val="20"/>
              </w:rPr>
            </w:r>
          </w:p>
        </w:tc>
        <w:tc>
          <w:tcPr>
            <w:tcW w:w="307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26"/>
              <w:spacing w:before="0" w:after="0"/>
              <w:jc w:val="left"/>
              <w:rPr>
                <w:sz w:val="20"/>
                <w:szCs w:val="20"/>
              </w:rPr>
            </w:pPr>
            <w:r>
              <w:rPr>
                <w:sz w:val="20"/>
                <w:szCs w:val="20"/>
              </w:rPr>
            </w:r>
          </w:p>
        </w:tc>
      </w:tr>
    </w:tbl>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t>Висновки</w:t>
      </w:r>
      <w:r>
        <w:rPr>
          <w:rFonts w:ascii="Times New Roman Cyr" w:hAnsi="Times New Roman Cyr"/>
          <w:sz w:val="20"/>
          <w:szCs w:val="20"/>
        </w:rPr>
        <w:t xml:space="preserve"> </w:t>
      </w:r>
      <w:r>
        <w:rPr>
          <w:sz w:val="20"/>
          <w:szCs w:val="20"/>
        </w:rPr>
        <w:t>зав</w:t>
      </w:r>
      <w:r>
        <w:rPr>
          <w:rFonts w:ascii="Times New Roman Cyr" w:hAnsi="Times New Roman Cyr"/>
          <w:sz w:val="20"/>
          <w:szCs w:val="20"/>
        </w:rPr>
        <w:t xml:space="preserve">. </w:t>
      </w:r>
      <w:r>
        <w:rPr>
          <w:sz w:val="20"/>
          <w:szCs w:val="20"/>
        </w:rPr>
        <w:t>лабораторією ______________________________________</w:t>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t>Зав. лабораторії водовідведення</w:t>
      </w:r>
    </w:p>
    <w:p>
      <w:pPr>
        <w:pStyle w:val="Normal"/>
        <w:rPr/>
      </w:pPr>
      <w:r>
        <w:rPr/>
      </w:r>
    </w:p>
    <w:p>
      <w:pPr>
        <w:pStyle w:val="Normal"/>
        <w:widowControl/>
        <w:autoSpaceDE w:val="false"/>
        <w:spacing w:lineRule="auto" w:line="360"/>
        <w:ind w:left="0" w:right="0" w:firstLine="426"/>
        <w:jc w:val="both"/>
        <w:rPr>
          <w:bCs/>
          <w:color w:val="000000"/>
          <w:sz w:val="20"/>
          <w:szCs w:val="20"/>
        </w:rPr>
      </w:pPr>
      <w:r>
        <w:rPr>
          <w:rFonts w:ascii="Times New Roman Cyr" w:hAnsi="Times New Roman Cyr"/>
          <w:bCs/>
          <w:color w:val="000000"/>
          <w:sz w:val="16"/>
          <w:szCs w:val="20"/>
        </w:rPr>
        <w:t xml:space="preserve">* </w:t>
      </w:r>
      <w:r>
        <w:rPr>
          <w:bCs/>
          <w:color w:val="000000"/>
          <w:sz w:val="16"/>
          <w:szCs w:val="20"/>
        </w:rPr>
        <w:t>Дані</w:t>
      </w:r>
      <w:r>
        <w:rPr>
          <w:rFonts w:ascii="Times New Roman Cyr" w:hAnsi="Times New Roman Cyr"/>
          <w:bCs/>
          <w:color w:val="000000"/>
          <w:sz w:val="16"/>
          <w:szCs w:val="20"/>
        </w:rPr>
        <w:t xml:space="preserve"> </w:t>
      </w:r>
      <w:r>
        <w:rPr>
          <w:bCs/>
          <w:color w:val="000000"/>
          <w:sz w:val="16"/>
          <w:szCs w:val="20"/>
        </w:rPr>
        <w:t>протоколу</w:t>
      </w:r>
      <w:r>
        <w:rPr>
          <w:rFonts w:ascii="Times New Roman Cyr" w:hAnsi="Times New Roman Cyr"/>
          <w:bCs/>
          <w:color w:val="000000"/>
          <w:sz w:val="16"/>
          <w:szCs w:val="20"/>
        </w:rPr>
        <w:t xml:space="preserve"> </w:t>
      </w:r>
      <w:r>
        <w:rPr>
          <w:bCs/>
          <w:color w:val="000000"/>
          <w:sz w:val="16"/>
          <w:szCs w:val="20"/>
        </w:rPr>
        <w:t>не</w:t>
      </w:r>
      <w:r>
        <w:rPr>
          <w:rFonts w:ascii="Times New Roman Cyr" w:hAnsi="Times New Roman Cyr"/>
          <w:bCs/>
          <w:color w:val="000000"/>
          <w:sz w:val="16"/>
          <w:szCs w:val="20"/>
        </w:rPr>
        <w:t xml:space="preserve"> </w:t>
      </w:r>
      <w:r>
        <w:rPr>
          <w:bCs/>
          <w:color w:val="000000"/>
          <w:sz w:val="16"/>
          <w:szCs w:val="20"/>
        </w:rPr>
        <w:t>можуть</w:t>
      </w:r>
      <w:r>
        <w:rPr>
          <w:rFonts w:ascii="Times New Roman Cyr" w:hAnsi="Times New Roman Cyr"/>
          <w:bCs/>
          <w:color w:val="000000"/>
          <w:sz w:val="16"/>
          <w:szCs w:val="20"/>
        </w:rPr>
        <w:t xml:space="preserve"> </w:t>
      </w:r>
      <w:r>
        <w:rPr>
          <w:bCs/>
          <w:color w:val="000000"/>
          <w:sz w:val="16"/>
          <w:szCs w:val="20"/>
        </w:rPr>
        <w:t>бути</w:t>
      </w:r>
      <w:r>
        <w:rPr>
          <w:rFonts w:ascii="Times New Roman Cyr" w:hAnsi="Times New Roman Cyr"/>
          <w:bCs/>
          <w:color w:val="000000"/>
          <w:sz w:val="16"/>
          <w:szCs w:val="20"/>
        </w:rPr>
        <w:t xml:space="preserve"> </w:t>
      </w:r>
      <w:r>
        <w:rPr>
          <w:bCs/>
          <w:color w:val="000000"/>
          <w:sz w:val="16"/>
          <w:szCs w:val="20"/>
        </w:rPr>
        <w:t>використані</w:t>
      </w:r>
      <w:r>
        <w:rPr>
          <w:rFonts w:ascii="Times New Roman Cyr" w:hAnsi="Times New Roman Cyr"/>
          <w:bCs/>
          <w:color w:val="000000"/>
          <w:sz w:val="16"/>
          <w:szCs w:val="20"/>
        </w:rPr>
        <w:t xml:space="preserve"> </w:t>
      </w:r>
      <w:r>
        <w:rPr>
          <w:bCs/>
          <w:color w:val="000000"/>
          <w:sz w:val="16"/>
          <w:szCs w:val="20"/>
        </w:rPr>
        <w:t>як</w:t>
      </w:r>
      <w:r>
        <w:rPr>
          <w:rFonts w:ascii="Times New Roman Cyr" w:hAnsi="Times New Roman Cyr"/>
          <w:bCs/>
          <w:color w:val="000000"/>
          <w:sz w:val="16"/>
          <w:szCs w:val="20"/>
        </w:rPr>
        <w:t xml:space="preserve"> </w:t>
      </w:r>
      <w:r>
        <w:rPr>
          <w:bCs/>
          <w:color w:val="000000"/>
          <w:sz w:val="16"/>
          <w:szCs w:val="20"/>
        </w:rPr>
        <w:t>звітні</w:t>
      </w:r>
      <w:r>
        <w:rPr>
          <w:rFonts w:ascii="Times New Roman Cyr" w:hAnsi="Times New Roman Cyr"/>
          <w:bCs/>
          <w:color w:val="000000"/>
          <w:sz w:val="16"/>
          <w:szCs w:val="20"/>
        </w:rPr>
        <w:t xml:space="preserve"> </w:t>
      </w:r>
      <w:r>
        <w:rPr>
          <w:bCs/>
          <w:color w:val="000000"/>
          <w:sz w:val="16"/>
          <w:szCs w:val="20"/>
        </w:rPr>
        <w:t>дані</w:t>
      </w:r>
      <w:r>
        <w:rPr>
          <w:rFonts w:ascii="Times New Roman Cyr" w:hAnsi="Times New Roman Cyr"/>
          <w:bCs/>
          <w:color w:val="000000"/>
          <w:sz w:val="16"/>
          <w:szCs w:val="20"/>
        </w:rPr>
        <w:t xml:space="preserve"> </w:t>
      </w:r>
      <w:r>
        <w:rPr>
          <w:bCs/>
          <w:color w:val="000000"/>
          <w:sz w:val="16"/>
          <w:szCs w:val="20"/>
        </w:rPr>
        <w:t>лабораторного</w:t>
      </w:r>
      <w:r>
        <w:rPr>
          <w:rFonts w:ascii="Times New Roman Cyr" w:hAnsi="Times New Roman Cyr"/>
          <w:bCs/>
          <w:color w:val="000000"/>
          <w:sz w:val="16"/>
          <w:szCs w:val="20"/>
        </w:rPr>
        <w:t xml:space="preserve"> </w:t>
      </w:r>
      <w:r>
        <w:rPr>
          <w:bCs/>
          <w:color w:val="000000"/>
          <w:sz w:val="16"/>
          <w:szCs w:val="20"/>
        </w:rPr>
        <w:t>контролю</w:t>
      </w:r>
      <w:r>
        <w:rPr>
          <w:rFonts w:ascii="Times New Roman Cyr" w:hAnsi="Times New Roman Cyr"/>
          <w:bCs/>
          <w:color w:val="000000"/>
          <w:sz w:val="16"/>
          <w:szCs w:val="20"/>
        </w:rPr>
        <w:t xml:space="preserve"> </w:t>
      </w:r>
      <w:r>
        <w:rPr>
          <w:bCs/>
          <w:color w:val="000000"/>
          <w:sz w:val="16"/>
          <w:szCs w:val="20"/>
        </w:rPr>
        <w:t>за</w:t>
      </w:r>
      <w:r>
        <w:rPr>
          <w:rFonts w:ascii="Times New Roman Cyr" w:hAnsi="Times New Roman Cyr"/>
          <w:bCs/>
          <w:color w:val="000000"/>
          <w:sz w:val="16"/>
          <w:szCs w:val="20"/>
        </w:rPr>
        <w:t xml:space="preserve"> </w:t>
      </w:r>
      <w:r>
        <w:rPr>
          <w:bCs/>
          <w:color w:val="000000"/>
          <w:sz w:val="16"/>
          <w:szCs w:val="20"/>
        </w:rPr>
        <w:t>якістю</w:t>
      </w:r>
      <w:r>
        <w:rPr>
          <w:rFonts w:ascii="Times New Roman Cyr" w:hAnsi="Times New Roman Cyr"/>
          <w:bCs/>
          <w:color w:val="000000"/>
          <w:sz w:val="16"/>
          <w:szCs w:val="20"/>
        </w:rPr>
        <w:t xml:space="preserve"> </w:t>
      </w:r>
      <w:r>
        <w:rPr>
          <w:bCs/>
          <w:color w:val="000000"/>
          <w:sz w:val="16"/>
          <w:szCs w:val="20"/>
        </w:rPr>
        <w:t>стічних</w:t>
      </w:r>
      <w:r>
        <w:rPr>
          <w:rFonts w:ascii="Times New Roman Cyr" w:hAnsi="Times New Roman Cyr"/>
          <w:bCs/>
          <w:color w:val="000000"/>
          <w:sz w:val="16"/>
          <w:szCs w:val="20"/>
        </w:rPr>
        <w:t xml:space="preserve"> </w:t>
      </w:r>
      <w:r>
        <w:rPr>
          <w:bCs/>
          <w:color w:val="000000"/>
          <w:sz w:val="16"/>
          <w:szCs w:val="20"/>
        </w:rPr>
        <w:t>вод</w:t>
      </w:r>
      <w:r>
        <w:rPr>
          <w:rFonts w:ascii="Times New Roman Cyr" w:hAnsi="Times New Roman Cyr"/>
          <w:bCs/>
          <w:color w:val="000000"/>
          <w:sz w:val="16"/>
          <w:szCs w:val="20"/>
        </w:rPr>
        <w:t xml:space="preserve"> </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Arial">
    <w:charset w:val="cc"/>
    <w:family w:val="swiss"/>
    <w:pitch w:val="variable"/>
  </w:font>
  <w:font w:name="Courier New">
    <w:charset w:val="cc"/>
    <w:family w:val="modern"/>
    <w:pitch w:val="fixed"/>
  </w:font>
  <w:font w:name="Calibri">
    <w:charset w:val="cc"/>
    <w:family w:val="roman"/>
    <w:pitch w:val="variable"/>
  </w:font>
  <w:font w:name="Times New Roman Cyr">
    <w:charset w:val="cc"/>
    <w:family w:val="roman"/>
    <w:pitch w:val="variable"/>
  </w:font>
  <w:font w:name="Tahoma">
    <w:charset w:val="cc"/>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ind w:left="644" w:hanging="360"/>
      </w:pPr>
      <w:rPr>
        <w:rFonts w:ascii="Liberation Serif" w:hAnsi="Liberation Serif" w:cs="Liberation Serif" w:hint="default"/>
        <w:sz w:val="20"/>
        <w:szCs w:val="20"/>
        <w:lang w:val="uk-U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95"/>
  <w:defaultTabStop w:val="708"/>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kern w:val="2"/>
        <w:sz w:val="24"/>
        <w:szCs w:val="24"/>
        <w:lang w:val="uk-UA" w:eastAsia="zh-CN" w:bidi="hi-IN"/>
      </w:rPr>
    </w:rPrDefault>
    <w:pPrDefault>
      <w:pPr>
        <w:suppressAutoHyphens w:val="false"/>
        <w:textAlignment w:val="baselin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SimSun" w:cs="Mangal"/>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vertAlign w:val="baseline"/>
      <w:em w:val="none"/>
      <w:lang w:val="uk-UA" w:eastAsia="zh-CN" w:bidi="hi-IN"/>
    </w:rPr>
  </w:style>
  <w:style w:type="character" w:styleId="Style14">
    <w:name w:val="Шрифт абзацу за замовчуванням"/>
    <w:qFormat/>
    <w:rPr/>
  </w:style>
  <w:style w:type="character" w:styleId="Style15">
    <w:name w:val="Гіперпосилання"/>
    <w:rPr>
      <w:color w:val="000080"/>
      <w:u w:val="single"/>
    </w:rPr>
  </w:style>
  <w:style w:type="character" w:styleId="Style16">
    <w:name w:val="Символ нумерації"/>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5z0">
    <w:name w:val="WW8Num5z0"/>
    <w:qFormat/>
    <w:rPr>
      <w:sz w:val="20"/>
      <w:szCs w:val="20"/>
      <w:lang w:val="uk-UA"/>
    </w:rPr>
  </w:style>
  <w:style w:type="character" w:styleId="WWCharLFO2LVL1">
    <w:name w:val="WW_CharLFO2LVL1"/>
    <w:qFormat/>
    <w:rPr>
      <w:rFonts w:ascii="Liberation Serif" w:hAnsi="Liberation Serif"/>
      <w:sz w:val="20"/>
      <w:szCs w:val="20"/>
      <w:lang w:val="uk-UA"/>
    </w:rPr>
  </w:style>
  <w:style w:type="character" w:styleId="Style17">
    <w:name w:val="Текст примітки Знак"/>
    <w:basedOn w:val="Style14"/>
    <w:qFormat/>
    <w:rPr>
      <w:sz w:val="20"/>
      <w:szCs w:val="18"/>
    </w:rPr>
  </w:style>
  <w:style w:type="character" w:styleId="Style18">
    <w:name w:val="Знак примітки"/>
    <w:basedOn w:val="Style14"/>
    <w:qFormat/>
    <w:rPr>
      <w:sz w:val="16"/>
      <w:szCs w:val="16"/>
    </w:rPr>
  </w:style>
  <w:style w:type="character" w:styleId="Style19">
    <w:name w:val="Текст у виносці Знак"/>
    <w:basedOn w:val="Style14"/>
    <w:qFormat/>
    <w:rPr>
      <w:rFonts w:ascii="Segoe UI" w:hAnsi="Segoe UI"/>
      <w:sz w:val="18"/>
      <w:szCs w:val="16"/>
    </w:rPr>
  </w:style>
  <w:style w:type="character" w:styleId="DefaultParagraphFont">
    <w:name w:val="Default Paragraph Font"/>
    <w:qFormat/>
    <w:rPr/>
  </w:style>
  <w:style w:type="paragraph" w:styleId="Style20">
    <w:name w:val="Звичайний"/>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SimSun" w:cs="Mangal"/>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vertAlign w:val="baseline"/>
      <w:em w:val="none"/>
      <w:lang w:val="uk-UA" w:eastAsia="zh-CN" w:bidi="hi-IN"/>
    </w:rPr>
  </w:style>
  <w:style w:type="paragraph" w:styleId="Style21">
    <w:name w:val="Заголовок"/>
    <w:basedOn w:val="Normal"/>
    <w:next w:val="Style22"/>
    <w:qFormat/>
    <w:pPr>
      <w:keepNext w:val="true"/>
      <w:suppressAutoHyphens w:val="true"/>
      <w:spacing w:before="240" w:after="120"/>
    </w:pPr>
    <w:rPr>
      <w:rFonts w:ascii="Arial" w:hAnsi="Arial" w:eastAsia="Microsoft YaHei"/>
      <w:sz w:val="28"/>
      <w:szCs w:val="28"/>
    </w:rPr>
  </w:style>
  <w:style w:type="paragraph" w:styleId="Style22">
    <w:name w:val="Body Text"/>
    <w:basedOn w:val="Normal"/>
    <w:pPr>
      <w:suppressAutoHyphens w:val="true"/>
      <w:spacing w:before="0" w:after="120"/>
    </w:pPr>
    <w:rPr/>
  </w:style>
  <w:style w:type="paragraph" w:styleId="Style23">
    <w:name w:val="List"/>
    <w:basedOn w:val="Style22"/>
    <w:pPr>
      <w:suppressAutoHyphens w:val="true"/>
    </w:pPr>
    <w:rPr/>
  </w:style>
  <w:style w:type="paragraph" w:styleId="Style24">
    <w:name w:val="Назва об'єкта"/>
    <w:basedOn w:val="Normal"/>
    <w:qFormat/>
    <w:pPr>
      <w:suppressLineNumbers/>
      <w:suppressAutoHyphens w:val="true"/>
      <w:spacing w:before="120" w:after="120"/>
    </w:pPr>
    <w:rPr>
      <w:i/>
      <w:iCs/>
    </w:rPr>
  </w:style>
  <w:style w:type="paragraph" w:styleId="Style25">
    <w:name w:val="Покажчик"/>
    <w:basedOn w:val="Normal"/>
    <w:qFormat/>
    <w:pPr>
      <w:suppressLineNumbers/>
      <w:suppressAutoHyphens w:val="true"/>
    </w:pPr>
    <w:rPr/>
  </w:style>
  <w:style w:type="paragraph" w:styleId="Style26">
    <w:name w:val="Вміст таблиці"/>
    <w:basedOn w:val="Normal"/>
    <w:qFormat/>
    <w:pPr>
      <w:suppressLineNumbers/>
      <w:suppressAutoHyphens w:val="true"/>
    </w:pPr>
    <w:rPr/>
  </w:style>
  <w:style w:type="paragraph" w:styleId="Style27">
    <w:name w:val="Заголовок таблиці"/>
    <w:basedOn w:val="Style26"/>
    <w:qFormat/>
    <w:pPr>
      <w:suppressAutoHyphens w:val="true"/>
      <w:jc w:val="center"/>
    </w:pPr>
    <w:rPr>
      <w:b/>
      <w:bCs/>
    </w:rPr>
  </w:style>
  <w:style w:type="paragraph" w:styleId="Style28">
    <w:name w:val="Горизонтальна лінія"/>
    <w:basedOn w:val="Normal"/>
    <w:next w:val="Style22"/>
    <w:qFormat/>
    <w:pPr>
      <w:suppressLineNumbers/>
      <w:suppressAutoHyphens w:val="true"/>
      <w:spacing w:before="0" w:after="283"/>
    </w:pPr>
    <w:rPr>
      <w:sz w:val="12"/>
      <w:szCs w:val="12"/>
    </w:rPr>
  </w:style>
  <w:style w:type="paragraph" w:styleId="Style29">
    <w:name w:val="Текст у вказаному форматі"/>
    <w:basedOn w:val="Normal"/>
    <w:qFormat/>
    <w:pPr>
      <w:suppressAutoHyphens w:val="true"/>
    </w:pPr>
    <w:rPr>
      <w:rFonts w:ascii="Courier New" w:hAnsi="Courier New" w:eastAsia="NSimSun" w:cs="Courier New"/>
      <w:sz w:val="20"/>
      <w:szCs w:val="20"/>
    </w:rPr>
  </w:style>
  <w:style w:type="paragraph" w:styleId="Style30">
    <w:name w:val="Текст примітки"/>
    <w:basedOn w:val="Style20"/>
    <w:qFormat/>
    <w:pPr>
      <w:suppressAutoHyphens w:val="true"/>
    </w:pPr>
    <w:rPr>
      <w:sz w:val="20"/>
      <w:szCs w:val="18"/>
    </w:rPr>
  </w:style>
  <w:style w:type="paragraph" w:styleId="Style31">
    <w:name w:val="Текст у виносці"/>
    <w:basedOn w:val="Style20"/>
    <w:qFormat/>
    <w:pPr>
      <w:suppressAutoHyphens w:val="true"/>
    </w:pPr>
    <w:rPr>
      <w:rFonts w:ascii="Segoe UI" w:hAnsi="Segoe UI"/>
      <w:sz w:val="18"/>
      <w:szCs w:val="16"/>
    </w:rPr>
  </w:style>
  <w:style w:type="paragraph" w:styleId="DocumentMap">
    <w:name w:val="DocumentMap"/>
    <w:qFormat/>
    <w:pPr>
      <w:keepNext w:val="false"/>
      <w:keepLines w:val="false"/>
      <w:pageBreakBefore w:val="false"/>
      <w:widowControl/>
      <w:pBdr/>
      <w:shd w:fill="auto" w:val="clear"/>
      <w:kinsoku w:val="true"/>
      <w:overflowPunct w:val="true"/>
      <w:autoSpaceDE w:val="true"/>
      <w:bidi w:val="0"/>
      <w:snapToGrid w:val="true"/>
      <w:spacing w:lineRule="auto" w:line="256" w:before="0" w:after="160"/>
      <w:jc w:val="left"/>
      <w:textAlignment w:val="auto"/>
    </w:pPr>
    <w:rPr>
      <w:rFonts w:ascii="Calibri" w:hAnsi="Calibri" w:eastAsia="Calibri"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vertAlign w:val="baseline"/>
      <w:em w:val="none"/>
      <w:lang w:val="uk-UA" w:eastAsia="en-US" w:bidi="ar-SA"/>
    </w:rPr>
  </w:style>
  <w:style w:type="numbering" w:styleId="WW8Num1">
    <w:name w:val="WW8Num1"/>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715</TotalTime>
  <Application>LibreOffice/6.1.2.1$Windows_X86_64 LibreOffice_project/65905a128db06ba48db947242809d14d3f9a93fe</Application>
  <Pages>32</Pages>
  <Words>8548</Words>
  <CharactersWithSpaces>64376</CharactersWithSpaces>
  <Paragraphs>1568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2018-05-15T16:24:00Z</dcterms:created>
  <dc:creator/>
  <dc:description/>
  <dc:language>uk-UA</dc:language>
  <cp:lastModifiedBy/>
  <cp:lastPrinted>2018-11-23T17:07:00Z</cp:lastPrinted>
  <dcterms:modified xsi:type="dcterms:W3CDTF">2018-12-23T14:11:35Z</dcterms:modified>
  <cp:revision>116</cp:revision>
  <dc:subject/>
  <dc:title/>
</cp:coreProperties>
</file>